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02" w:rsidRDefault="00391FE7">
      <w:pPr>
        <w:pStyle w:val="Heading2"/>
      </w:pPr>
      <w:r>
        <w:t xml:space="preserve">06505 </w:t>
      </w:r>
      <w:proofErr w:type="spellStart"/>
      <w:r>
        <w:t>Ministarstvo</w:t>
      </w:r>
      <w:proofErr w:type="spellEnd"/>
      <w:r>
        <w:t xml:space="preserve"> mora, prometa i infrastrukture</w:t>
      </w:r>
    </w:p>
    <w:p w:rsidR="002E3202" w:rsidRDefault="00391FE7">
      <w:r>
        <w:t>Najznačajniji poslovi i zadaci na razini Glave Ministarstva mora, prometa i infrastrukture u narednom trogodišnjem razdoblju su stvaranje uvjeta i izgradnja kapaciteta koji će osigurati izradu kvalitetnih zakona i ostalih propisa te njihovo provođenje vezano uz zaštitu mora, pomorskog dobra i vodnih putova unutarnjih voda, osiguranje prometne povezanosti otoka međusobno i s kopnom, postizanje visoke razvijenosti elektroničkih komunikacija i tržišta poštanskih usluga, organiziranje izrade strateških infrastrukturnih projekata i investicijskih programa od posebnog značaja za Republiku Hrvatsku, organiziranje radova na izgradnji suvremene prometne infrastrukture, koja će prometno povezati sve regije i razviti sve vidova prometa uz visok stupanj profesionalnosti i sigurnosti u pružanju prijevoznih usluga te poduzimanje svih mjera zaštite okoliša u prometu.</w:t>
      </w:r>
    </w:p>
    <w:tbl>
      <w:tblPr>
        <w:tblStyle w:val="StilTablice"/>
        <w:tblW w:w="10206" w:type="dxa"/>
        <w:jc w:val="center"/>
        <w:tblLook w:val="04A0" w:firstRow="1" w:lastRow="0" w:firstColumn="1" w:lastColumn="0" w:noHBand="0" w:noVBand="1"/>
      </w:tblPr>
      <w:tblGrid>
        <w:gridCol w:w="1380"/>
        <w:gridCol w:w="1572"/>
        <w:gridCol w:w="1571"/>
        <w:gridCol w:w="1571"/>
        <w:gridCol w:w="1571"/>
        <w:gridCol w:w="1571"/>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06505</w:t>
            </w:r>
          </w:p>
        </w:tc>
        <w:tc>
          <w:tcPr>
            <w:tcW w:w="1632" w:type="dxa"/>
          </w:tcPr>
          <w:p w:rsidR="002E3202" w:rsidRDefault="00391FE7">
            <w:pPr>
              <w:jc w:val="right"/>
            </w:pPr>
            <w:r>
              <w:t>1.141.260.259</w:t>
            </w:r>
          </w:p>
        </w:tc>
        <w:tc>
          <w:tcPr>
            <w:tcW w:w="1632" w:type="dxa"/>
          </w:tcPr>
          <w:p w:rsidR="002E3202" w:rsidRDefault="00391FE7">
            <w:pPr>
              <w:jc w:val="right"/>
            </w:pPr>
            <w:r>
              <w:t>1.387.463.761</w:t>
            </w:r>
          </w:p>
        </w:tc>
        <w:tc>
          <w:tcPr>
            <w:tcW w:w="1632" w:type="dxa"/>
          </w:tcPr>
          <w:p w:rsidR="002E3202" w:rsidRDefault="00391FE7">
            <w:pPr>
              <w:jc w:val="right"/>
            </w:pPr>
            <w:r>
              <w:t>1.306.215.087</w:t>
            </w:r>
          </w:p>
        </w:tc>
        <w:tc>
          <w:tcPr>
            <w:tcW w:w="1632" w:type="dxa"/>
          </w:tcPr>
          <w:p w:rsidR="002E3202" w:rsidRDefault="00391FE7">
            <w:pPr>
              <w:jc w:val="right"/>
            </w:pPr>
            <w:r>
              <w:t>1.495.735.082</w:t>
            </w:r>
          </w:p>
        </w:tc>
        <w:tc>
          <w:tcPr>
            <w:tcW w:w="1632" w:type="dxa"/>
          </w:tcPr>
          <w:p w:rsidR="002E3202" w:rsidRDefault="00391FE7">
            <w:pPr>
              <w:jc w:val="right"/>
            </w:pPr>
            <w:r>
              <w:t>1.520.029.936</w:t>
            </w:r>
          </w:p>
        </w:tc>
        <w:tc>
          <w:tcPr>
            <w:tcW w:w="510" w:type="dxa"/>
          </w:tcPr>
          <w:p w:rsidR="002E3202" w:rsidRDefault="00391FE7">
            <w:pPr>
              <w:jc w:val="right"/>
            </w:pPr>
            <w:r>
              <w:t>94,1</w:t>
            </w:r>
          </w:p>
        </w:tc>
      </w:tr>
    </w:tbl>
    <w:p w:rsidR="002E3202" w:rsidRDefault="002E3202">
      <w:pPr>
        <w:jc w:val="left"/>
      </w:pPr>
    </w:p>
    <w:p w:rsidR="002E3202" w:rsidRDefault="00391FE7">
      <w:pPr>
        <w:pStyle w:val="Heading3"/>
      </w:pPr>
      <w:r>
        <w:rPr>
          <w:rFonts w:cs="Times New Roman"/>
        </w:rPr>
        <w:t>3101 UPRAVLJANJE NA PODRUČJU PROMETNE POLITIKE</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3101</w:t>
            </w:r>
          </w:p>
        </w:tc>
        <w:tc>
          <w:tcPr>
            <w:tcW w:w="1632" w:type="dxa"/>
          </w:tcPr>
          <w:p w:rsidR="002E3202" w:rsidRDefault="00391FE7">
            <w:pPr>
              <w:jc w:val="right"/>
            </w:pPr>
            <w:r>
              <w:t>66.292.154</w:t>
            </w:r>
          </w:p>
        </w:tc>
        <w:tc>
          <w:tcPr>
            <w:tcW w:w="1632" w:type="dxa"/>
          </w:tcPr>
          <w:p w:rsidR="002E3202" w:rsidRDefault="00391FE7">
            <w:pPr>
              <w:jc w:val="right"/>
            </w:pPr>
            <w:r>
              <w:t>17.879.444</w:t>
            </w:r>
          </w:p>
        </w:tc>
        <w:tc>
          <w:tcPr>
            <w:tcW w:w="1632" w:type="dxa"/>
          </w:tcPr>
          <w:p w:rsidR="002E3202" w:rsidRDefault="00391FE7">
            <w:pPr>
              <w:jc w:val="right"/>
            </w:pPr>
            <w:r>
              <w:t>20.262.949</w:t>
            </w:r>
          </w:p>
        </w:tc>
        <w:tc>
          <w:tcPr>
            <w:tcW w:w="1632" w:type="dxa"/>
          </w:tcPr>
          <w:p w:rsidR="002E3202" w:rsidRDefault="00391FE7">
            <w:pPr>
              <w:jc w:val="right"/>
            </w:pPr>
            <w:r>
              <w:t>20.650.875</w:t>
            </w:r>
          </w:p>
        </w:tc>
        <w:tc>
          <w:tcPr>
            <w:tcW w:w="1632" w:type="dxa"/>
          </w:tcPr>
          <w:p w:rsidR="002E3202" w:rsidRDefault="00391FE7">
            <w:pPr>
              <w:jc w:val="right"/>
            </w:pPr>
            <w:r>
              <w:t>21.105.218</w:t>
            </w:r>
          </w:p>
        </w:tc>
        <w:tc>
          <w:tcPr>
            <w:tcW w:w="510" w:type="dxa"/>
          </w:tcPr>
          <w:p w:rsidR="002E3202" w:rsidRDefault="00391FE7">
            <w:pPr>
              <w:jc w:val="right"/>
            </w:pPr>
            <w:r>
              <w:t>113,3</w:t>
            </w:r>
          </w:p>
        </w:tc>
      </w:tr>
    </w:tbl>
    <w:p w:rsidR="002E3202" w:rsidRDefault="002E3202">
      <w:pPr>
        <w:jc w:val="left"/>
      </w:pPr>
    </w:p>
    <w:p w:rsidR="002E3202" w:rsidRDefault="00391FE7">
      <w:pPr>
        <w:pStyle w:val="Heading8"/>
        <w:jc w:val="left"/>
      </w:pPr>
      <w:r>
        <w:t>Cilj 1. Povećanje kvalitete obavljanja poslova redovite djelatnosti i uvjeta rada Ministarstva</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91"/>
        <w:gridCol w:w="2290"/>
        <w:gridCol w:w="936"/>
        <w:gridCol w:w="936"/>
        <w:gridCol w:w="945"/>
        <w:gridCol w:w="936"/>
        <w:gridCol w:w="936"/>
        <w:gridCol w:w="936"/>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Postotak provedenih mjera </w:t>
            </w:r>
          </w:p>
          <w:p w:rsidR="002E3202" w:rsidRDefault="00391FE7">
            <w:pPr>
              <w:pStyle w:val="CellColumn"/>
              <w:jc w:val="left"/>
            </w:pPr>
            <w:r>
              <w:rPr>
                <w:rFonts w:cs="Times New Roman"/>
              </w:rPr>
              <w:t xml:space="preserve">i aktivnosti vezanih uz </w:t>
            </w:r>
          </w:p>
          <w:p w:rsidR="002E3202" w:rsidRDefault="00391FE7">
            <w:pPr>
              <w:pStyle w:val="CellColumn"/>
              <w:jc w:val="left"/>
            </w:pPr>
            <w:r>
              <w:rPr>
                <w:rFonts w:cs="Times New Roman"/>
              </w:rPr>
              <w:t xml:space="preserve">djelotvorno upravljanje </w:t>
            </w:r>
          </w:p>
          <w:p w:rsidR="002E3202" w:rsidRDefault="00391FE7">
            <w:pPr>
              <w:pStyle w:val="CellColumn"/>
              <w:jc w:val="left"/>
            </w:pPr>
            <w:r>
              <w:rPr>
                <w:rFonts w:cs="Times New Roman"/>
              </w:rPr>
              <w:t xml:space="preserve">ljudskim potencijalima, </w:t>
            </w:r>
          </w:p>
          <w:p w:rsidR="002E3202" w:rsidRDefault="00391FE7">
            <w:pPr>
              <w:pStyle w:val="CellColumn"/>
              <w:jc w:val="left"/>
            </w:pPr>
            <w:r>
              <w:rPr>
                <w:rFonts w:cs="Times New Roman"/>
              </w:rPr>
              <w:t xml:space="preserve">resursima i poslovnim </w:t>
            </w:r>
          </w:p>
          <w:p w:rsidR="002E3202" w:rsidRDefault="00391FE7">
            <w:pPr>
              <w:pStyle w:val="CellColumn"/>
              <w:jc w:val="left"/>
            </w:pPr>
            <w:r>
              <w:rPr>
                <w:rFonts w:cs="Times New Roman"/>
              </w:rPr>
              <w:t>procesima</w:t>
            </w:r>
          </w:p>
        </w:tc>
        <w:tc>
          <w:tcPr>
            <w:tcW w:w="2245" w:type="dxa"/>
            <w:vAlign w:val="top"/>
          </w:tcPr>
          <w:p w:rsidR="002E3202" w:rsidRDefault="00391FE7">
            <w:pPr>
              <w:pStyle w:val="CellColumn"/>
              <w:jc w:val="left"/>
            </w:pPr>
            <w:r>
              <w:rPr>
                <w:rFonts w:cs="Times New Roman"/>
              </w:rPr>
              <w:t xml:space="preserve">Razvojem i djelotvornim </w:t>
            </w:r>
          </w:p>
          <w:p w:rsidR="002E3202" w:rsidRDefault="00391FE7">
            <w:pPr>
              <w:pStyle w:val="CellColumn"/>
              <w:jc w:val="left"/>
            </w:pPr>
            <w:r>
              <w:rPr>
                <w:rFonts w:cs="Times New Roman"/>
              </w:rPr>
              <w:t xml:space="preserve">upravljanjem ljudskim </w:t>
            </w:r>
          </w:p>
          <w:p w:rsidR="002E3202" w:rsidRDefault="00391FE7">
            <w:pPr>
              <w:pStyle w:val="CellColumn"/>
              <w:jc w:val="left"/>
            </w:pPr>
            <w:r>
              <w:rPr>
                <w:rFonts w:cs="Times New Roman"/>
              </w:rPr>
              <w:t xml:space="preserve">potencijalima, kao i </w:t>
            </w:r>
          </w:p>
          <w:p w:rsidR="002E3202" w:rsidRDefault="00391FE7">
            <w:pPr>
              <w:pStyle w:val="CellColumn"/>
              <w:jc w:val="left"/>
            </w:pPr>
            <w:r>
              <w:rPr>
                <w:rFonts w:cs="Times New Roman"/>
              </w:rPr>
              <w:t xml:space="preserve">djelotvornim i </w:t>
            </w:r>
          </w:p>
          <w:p w:rsidR="002E3202" w:rsidRDefault="00391FE7">
            <w:pPr>
              <w:pStyle w:val="CellColumn"/>
              <w:jc w:val="left"/>
            </w:pPr>
            <w:r>
              <w:rPr>
                <w:rFonts w:cs="Times New Roman"/>
              </w:rPr>
              <w:t xml:space="preserve">učinkovitim upravljanjem </w:t>
            </w:r>
          </w:p>
          <w:p w:rsidR="002E3202" w:rsidRDefault="00391FE7">
            <w:pPr>
              <w:pStyle w:val="CellColumn"/>
              <w:jc w:val="left"/>
            </w:pPr>
            <w:r>
              <w:rPr>
                <w:rFonts w:cs="Times New Roman"/>
              </w:rPr>
              <w:t xml:space="preserve">resursima i poslovnim </w:t>
            </w:r>
          </w:p>
          <w:p w:rsidR="002E3202" w:rsidRDefault="00391FE7">
            <w:pPr>
              <w:pStyle w:val="CellColumn"/>
              <w:jc w:val="left"/>
            </w:pPr>
            <w:r>
              <w:rPr>
                <w:rFonts w:cs="Times New Roman"/>
              </w:rPr>
              <w:t xml:space="preserve">procesima povećava se </w:t>
            </w:r>
          </w:p>
          <w:p w:rsidR="002E3202" w:rsidRDefault="00391FE7">
            <w:pPr>
              <w:pStyle w:val="CellColumn"/>
              <w:jc w:val="left"/>
            </w:pPr>
            <w:r>
              <w:rPr>
                <w:rFonts w:cs="Times New Roman"/>
              </w:rPr>
              <w:t xml:space="preserve">kvaliteta usluge u vidu </w:t>
            </w:r>
          </w:p>
          <w:p w:rsidR="002E3202" w:rsidRDefault="00391FE7">
            <w:pPr>
              <w:pStyle w:val="CellColumn"/>
              <w:jc w:val="left"/>
            </w:pPr>
            <w:r>
              <w:rPr>
                <w:rFonts w:cs="Times New Roman"/>
              </w:rPr>
              <w:t xml:space="preserve">povećanja ažurnosti i </w:t>
            </w:r>
          </w:p>
          <w:p w:rsidR="002E3202" w:rsidRDefault="00391FE7">
            <w:pPr>
              <w:pStyle w:val="CellColumn"/>
              <w:jc w:val="left"/>
            </w:pPr>
            <w:r>
              <w:rPr>
                <w:rFonts w:cs="Times New Roman"/>
              </w:rPr>
              <w:t xml:space="preserve">učinkovitosti te smanjenje </w:t>
            </w:r>
          </w:p>
          <w:p w:rsidR="002E3202" w:rsidRDefault="00391FE7">
            <w:pPr>
              <w:pStyle w:val="CellColumn"/>
              <w:jc w:val="left"/>
            </w:pPr>
            <w:r>
              <w:rPr>
                <w:rFonts w:cs="Times New Roman"/>
              </w:rPr>
              <w:t>troškova poslovanja.</w:t>
            </w:r>
          </w:p>
        </w:tc>
        <w:tc>
          <w:tcPr>
            <w:tcW w:w="918" w:type="dxa"/>
          </w:tcPr>
          <w:p w:rsidR="002E3202" w:rsidRDefault="00391FE7">
            <w:pPr>
              <w:jc w:val="center"/>
            </w:pPr>
            <w:r>
              <w:t>%</w:t>
            </w:r>
          </w:p>
        </w:tc>
        <w:tc>
          <w:tcPr>
            <w:tcW w:w="918" w:type="dxa"/>
          </w:tcPr>
          <w:p w:rsidR="002E3202" w:rsidRDefault="00391FE7">
            <w:pPr>
              <w:jc w:val="center"/>
            </w:pPr>
            <w:r>
              <w:t>100</w:t>
            </w:r>
          </w:p>
        </w:tc>
        <w:tc>
          <w:tcPr>
            <w:tcW w:w="918" w:type="dxa"/>
          </w:tcPr>
          <w:p w:rsidR="002E3202" w:rsidRDefault="00391FE7">
            <w:pPr>
              <w:pStyle w:val="CellColumn"/>
              <w:jc w:val="center"/>
            </w:pPr>
            <w:r>
              <w:rPr>
                <w:rFonts w:cs="Times New Roman"/>
              </w:rPr>
              <w:t xml:space="preserve">Ministarst </w:t>
            </w:r>
          </w:p>
          <w:p w:rsidR="002E3202" w:rsidRDefault="00391FE7">
            <w:pPr>
              <w:pStyle w:val="CellColumn"/>
              <w:jc w:val="center"/>
            </w:pPr>
            <w:r>
              <w:rPr>
                <w:rFonts w:cs="Times New Roman"/>
              </w:rPr>
              <w:t xml:space="preserve">vo mora, </w:t>
            </w:r>
          </w:p>
          <w:p w:rsidR="002E3202" w:rsidRDefault="00391FE7">
            <w:pPr>
              <w:pStyle w:val="CellColumn"/>
              <w:jc w:val="center"/>
            </w:pPr>
            <w:r>
              <w:rPr>
                <w:rFonts w:cs="Times New Roman"/>
              </w:rPr>
              <w:t xml:space="preserve">prometa i </w:t>
            </w:r>
          </w:p>
          <w:p w:rsidR="002E3202" w:rsidRDefault="00391FE7">
            <w:pPr>
              <w:pStyle w:val="CellColumn"/>
              <w:jc w:val="center"/>
            </w:pPr>
            <w:r>
              <w:rPr>
                <w:rFonts w:cs="Times New Roman"/>
              </w:rPr>
              <w:t xml:space="preserve">infrastruk </w:t>
            </w:r>
          </w:p>
          <w:p w:rsidR="002E3202" w:rsidRDefault="00391FE7">
            <w:pPr>
              <w:pStyle w:val="CellColumn"/>
              <w:jc w:val="center"/>
            </w:pPr>
            <w:r>
              <w:rPr>
                <w:rFonts w:cs="Times New Roman"/>
              </w:rPr>
              <w:t>ture</w:t>
            </w:r>
          </w:p>
        </w:tc>
        <w:tc>
          <w:tcPr>
            <w:tcW w:w="918" w:type="dxa"/>
          </w:tcPr>
          <w:p w:rsidR="002E3202" w:rsidRDefault="00391FE7">
            <w:pPr>
              <w:jc w:val="center"/>
            </w:pPr>
            <w:r>
              <w:t>100</w:t>
            </w:r>
          </w:p>
        </w:tc>
        <w:tc>
          <w:tcPr>
            <w:tcW w:w="918" w:type="dxa"/>
          </w:tcPr>
          <w:p w:rsidR="002E3202" w:rsidRDefault="00391FE7">
            <w:pPr>
              <w:jc w:val="center"/>
            </w:pPr>
            <w:r>
              <w:t>100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A250997 OBVEZE PO SUDSKIM SPOROVIMA</w:t>
      </w:r>
    </w:p>
    <w:p w:rsidR="002E3202" w:rsidRDefault="00391FE7">
      <w:pPr>
        <w:pStyle w:val="Heading8"/>
        <w:jc w:val="left"/>
      </w:pPr>
      <w:r>
        <w:t>Zakonske i druge pravne osnove</w:t>
      </w:r>
    </w:p>
    <w:p w:rsidR="002E3202" w:rsidRDefault="00391FE7">
      <w:r>
        <w:t>- Zakon o sustavu državne uprave, članak 9. i članak 53.</w:t>
      </w:r>
    </w:p>
    <w:tbl>
      <w:tblPr>
        <w:tblStyle w:val="StilTablice"/>
        <w:tblW w:w="10206" w:type="dxa"/>
        <w:jc w:val="center"/>
        <w:tblLook w:val="04A0" w:firstRow="1" w:lastRow="0" w:firstColumn="1" w:lastColumn="0" w:noHBand="0" w:noVBand="1"/>
      </w:tblPr>
      <w:tblGrid>
        <w:gridCol w:w="1468"/>
        <w:gridCol w:w="1554"/>
        <w:gridCol w:w="1546"/>
        <w:gridCol w:w="1546"/>
        <w:gridCol w:w="1561"/>
        <w:gridCol w:w="156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A250997</w:t>
            </w:r>
          </w:p>
        </w:tc>
        <w:tc>
          <w:tcPr>
            <w:tcW w:w="1632" w:type="dxa"/>
            <w:vAlign w:val="top"/>
          </w:tcPr>
          <w:p w:rsidR="002E3202" w:rsidRDefault="00391FE7">
            <w:pPr>
              <w:jc w:val="right"/>
            </w:pPr>
            <w:r>
              <w:t>435.212</w:t>
            </w:r>
          </w:p>
        </w:tc>
        <w:tc>
          <w:tcPr>
            <w:tcW w:w="1632" w:type="dxa"/>
            <w:vAlign w:val="top"/>
          </w:tcPr>
          <w:p w:rsidR="002E3202" w:rsidRDefault="00391FE7">
            <w:pPr>
              <w:jc w:val="right"/>
            </w:pPr>
            <w:r>
              <w:t>972.476</w:t>
            </w:r>
          </w:p>
        </w:tc>
        <w:tc>
          <w:tcPr>
            <w:tcW w:w="1632" w:type="dxa"/>
            <w:vAlign w:val="top"/>
          </w:tcPr>
          <w:p w:rsidR="002E3202" w:rsidRDefault="00391FE7">
            <w:pPr>
              <w:jc w:val="right"/>
            </w:pPr>
            <w:r>
              <w:t>919.358</w:t>
            </w:r>
          </w:p>
        </w:tc>
        <w:tc>
          <w:tcPr>
            <w:tcW w:w="1632" w:type="dxa"/>
            <w:vAlign w:val="top"/>
          </w:tcPr>
          <w:p w:rsidR="002E3202" w:rsidRDefault="00391FE7">
            <w:pPr>
              <w:jc w:val="right"/>
            </w:pPr>
            <w:r>
              <w:t>1.015.328</w:t>
            </w:r>
          </w:p>
        </w:tc>
        <w:tc>
          <w:tcPr>
            <w:tcW w:w="1632" w:type="dxa"/>
            <w:vAlign w:val="top"/>
          </w:tcPr>
          <w:p w:rsidR="002E3202" w:rsidRDefault="00391FE7">
            <w:pPr>
              <w:jc w:val="right"/>
            </w:pPr>
            <w:r>
              <w:t>1.021.000</w:t>
            </w:r>
          </w:p>
        </w:tc>
        <w:tc>
          <w:tcPr>
            <w:tcW w:w="510" w:type="dxa"/>
            <w:vAlign w:val="top"/>
          </w:tcPr>
          <w:p w:rsidR="002E3202" w:rsidRDefault="00391FE7">
            <w:pPr>
              <w:jc w:val="right"/>
            </w:pPr>
            <w:r>
              <w:t>94,5</w:t>
            </w:r>
          </w:p>
        </w:tc>
      </w:tr>
    </w:tbl>
    <w:p w:rsidR="002E3202" w:rsidRDefault="002E3202">
      <w:pPr>
        <w:jc w:val="left"/>
      </w:pPr>
    </w:p>
    <w:p w:rsidR="002E3202" w:rsidRDefault="00391FE7">
      <w:r>
        <w:t>Ovom aktivnosti osiguravaju se sredstva potrebna za plaćanje obveza po sudskim sporovima s pripadajućim sudskim troškovima.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pokrivenih troškova sudskih sporova</w:t>
            </w:r>
          </w:p>
        </w:tc>
        <w:tc>
          <w:tcPr>
            <w:tcW w:w="2245" w:type="dxa"/>
            <w:vAlign w:val="top"/>
          </w:tcPr>
          <w:p w:rsidR="002E3202" w:rsidRDefault="00391FE7">
            <w:pPr>
              <w:pStyle w:val="CellColumn"/>
              <w:jc w:val="left"/>
            </w:pPr>
            <w:r>
              <w:rPr>
                <w:rFonts w:cs="Times New Roman"/>
              </w:rPr>
              <w:t>Pokrivanje svih troškova proizašlih iz sudskih sporova.</w:t>
            </w:r>
          </w:p>
        </w:tc>
        <w:tc>
          <w:tcPr>
            <w:tcW w:w="918" w:type="dxa"/>
          </w:tcPr>
          <w:p w:rsidR="002E3202" w:rsidRDefault="00391FE7">
            <w:pPr>
              <w:jc w:val="center"/>
            </w:pPr>
            <w:r>
              <w:t>%</w:t>
            </w:r>
          </w:p>
        </w:tc>
        <w:tc>
          <w:tcPr>
            <w:tcW w:w="918" w:type="dxa"/>
          </w:tcPr>
          <w:p w:rsidR="002E3202" w:rsidRDefault="00391FE7">
            <w:pPr>
              <w:jc w:val="center"/>
            </w:pPr>
            <w:r>
              <w:t>100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391FE7">
            <w:pPr>
              <w:jc w:val="center"/>
            </w:pPr>
            <w:r>
              <w:t>100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A570000 ADMINISTRACIJA I UPRAVLJANJE</w:t>
      </w:r>
    </w:p>
    <w:p w:rsidR="002E3202" w:rsidRDefault="00391FE7">
      <w:pPr>
        <w:pStyle w:val="Heading8"/>
        <w:jc w:val="left"/>
      </w:pPr>
      <w:r>
        <w:t>Zakonske i druge pravne osnove</w:t>
      </w:r>
    </w:p>
    <w:p w:rsidR="002E3202" w:rsidRDefault="00391FE7">
      <w:r>
        <w:t xml:space="preserve">- Zakon o sustavu državne uprave  </w:t>
      </w:r>
    </w:p>
    <w:p w:rsidR="002E3202" w:rsidRDefault="00391FE7">
      <w:r>
        <w:t xml:space="preserve">- Uredba o načelima za unutarnje ustrojstvo tijela državne uprave  </w:t>
      </w:r>
    </w:p>
    <w:p w:rsidR="002E3202" w:rsidRDefault="00391FE7">
      <w:r>
        <w:t xml:space="preserve">- Uredba o unutarnjem ustrojstvu Ministarstva mora, prometa i infrastrukture  </w:t>
      </w:r>
    </w:p>
    <w:p w:rsidR="002E3202" w:rsidRDefault="00391FE7">
      <w:r>
        <w:t xml:space="preserve">- Kolektivni ugovor za državne službenike i namještenike  </w:t>
      </w:r>
    </w:p>
    <w:p w:rsidR="002E3202" w:rsidRDefault="00391FE7">
      <w:r>
        <w:t xml:space="preserve">- Zakon o javnoj nabavi  </w:t>
      </w:r>
    </w:p>
    <w:p w:rsidR="002E3202" w:rsidRDefault="00391FE7">
      <w:r>
        <w:t xml:space="preserve">- Zakon o upravljanju državnom imovinom  </w:t>
      </w:r>
    </w:p>
    <w:p w:rsidR="002E3202" w:rsidRDefault="00391FE7">
      <w:r>
        <w:t xml:space="preserve">- Zakon o informacijskoj sigurnosti </w:t>
      </w:r>
    </w:p>
    <w:p w:rsidR="002E3202" w:rsidRDefault="00391FE7">
      <w:r>
        <w:t xml:space="preserve">- Zakon o proračunu  </w:t>
      </w:r>
    </w:p>
    <w:p w:rsidR="002E3202" w:rsidRDefault="00391FE7">
      <w:r>
        <w:t xml:space="preserve">- Zakon o fiskalnoj odgovornosti  </w:t>
      </w:r>
    </w:p>
    <w:p w:rsidR="002E3202" w:rsidRDefault="00391FE7">
      <w:r>
        <w:t>- i svi ostali relevantni propisi.</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A570000</w:t>
            </w:r>
          </w:p>
        </w:tc>
        <w:tc>
          <w:tcPr>
            <w:tcW w:w="1632" w:type="dxa"/>
            <w:vAlign w:val="top"/>
          </w:tcPr>
          <w:p w:rsidR="002E3202" w:rsidRDefault="00391FE7">
            <w:pPr>
              <w:jc w:val="right"/>
            </w:pPr>
            <w:r>
              <w:t>10.904.450</w:t>
            </w:r>
          </w:p>
        </w:tc>
        <w:tc>
          <w:tcPr>
            <w:tcW w:w="1632" w:type="dxa"/>
            <w:vAlign w:val="top"/>
          </w:tcPr>
          <w:p w:rsidR="002E3202" w:rsidRDefault="00391FE7">
            <w:pPr>
              <w:jc w:val="right"/>
            </w:pPr>
            <w:r>
              <w:t>13.170.982</w:t>
            </w:r>
          </w:p>
        </w:tc>
        <w:tc>
          <w:tcPr>
            <w:tcW w:w="1632" w:type="dxa"/>
            <w:vAlign w:val="top"/>
          </w:tcPr>
          <w:p w:rsidR="002E3202" w:rsidRDefault="00391FE7">
            <w:pPr>
              <w:jc w:val="right"/>
            </w:pPr>
            <w:r>
              <w:t>13.849.446</w:t>
            </w:r>
          </w:p>
        </w:tc>
        <w:tc>
          <w:tcPr>
            <w:tcW w:w="1632" w:type="dxa"/>
            <w:vAlign w:val="top"/>
          </w:tcPr>
          <w:p w:rsidR="002E3202" w:rsidRDefault="00391FE7">
            <w:pPr>
              <w:jc w:val="right"/>
            </w:pPr>
            <w:r>
              <w:t>14.418.509</w:t>
            </w:r>
          </w:p>
        </w:tc>
        <w:tc>
          <w:tcPr>
            <w:tcW w:w="1632" w:type="dxa"/>
            <w:vAlign w:val="top"/>
          </w:tcPr>
          <w:p w:rsidR="002E3202" w:rsidRDefault="00391FE7">
            <w:pPr>
              <w:jc w:val="right"/>
            </w:pPr>
            <w:r>
              <w:t>14.851.991</w:t>
            </w:r>
          </w:p>
        </w:tc>
        <w:tc>
          <w:tcPr>
            <w:tcW w:w="510" w:type="dxa"/>
            <w:vAlign w:val="top"/>
          </w:tcPr>
          <w:p w:rsidR="002E3202" w:rsidRDefault="00391FE7">
            <w:pPr>
              <w:jc w:val="right"/>
            </w:pPr>
            <w:r>
              <w:t>105,2</w:t>
            </w:r>
          </w:p>
        </w:tc>
      </w:tr>
    </w:tbl>
    <w:p w:rsidR="002E3202" w:rsidRDefault="002E3202">
      <w:pPr>
        <w:jc w:val="left"/>
      </w:pPr>
    </w:p>
    <w:p w:rsidR="002E3202" w:rsidRDefault="00391FE7">
      <w:r>
        <w:t xml:space="preserve">Ovom aktivnosti osiguravaju se sredstva državnog proračuna nužna za pokriće troškova plaća i ostalih troškova zaposlenika Ministarstva, osim službenika i namještenika Uprave sigurnosti plovidbe i službenika čije se plaće osiguravaju iz sredstava tehničke pomoći. Također, na aktivnosti se planiraju sredstva za pokriće materijalnih rashoda koji nastaju u redovnom poslovanju Ministarstva u sjedištu i na lokacijama na kojima su smješteni inspektori prometne inspekcije i djelatnici Uprave unutarnje plovidbe, kao što su troškovi energije, troškovi zaštite na radu, komunalnih usluga, usluga čišćenja, pošte, prijevoza, uredskog materijala, službenih putovanja, intelektualnih usluga i slično.   </w:t>
      </w:r>
    </w:p>
    <w:p w:rsidR="002E3202" w:rsidRDefault="00391FE7">
      <w:r>
        <w:t xml:space="preserve">9.527.000 EUR od ukupno planiranih sredstava u 2024. godini, 9.697.000 EUR od ukupno planiranih sredstava u 2025. godini te 9.862.000 EUR od ukupno planiranih sredstava u 2026. godini namijenjeno je za plaće i ostale rashode za zaposlene. Troškovi za zaposlene utvrđeni su uzimajući u obzir troškove 333 trenutno zaposlenih službenika i namještenika i 4 državnih dužnosnika te troškove radnih mjesta čije je popunjavanje u tijeku (bez radnih mjesta u Upravi sigurnosti plovidbe i radnih mjesta za koja se plaće osiguravaju iz tehničke pomoći).  </w:t>
      </w:r>
    </w:p>
    <w:p w:rsidR="002E3202" w:rsidRDefault="00391FE7">
      <w:r>
        <w:t xml:space="preserve">4.110.382 EUR od ukupno planiranih sredstava u 2024. godini, 4.474.153 EUR od ukupno planiranih sredstava u 2025. godini te 4.739.401 EUR od ukupno planiranih sredstava u 2026. godini namijenjeno je za službena putovanja, stručno usavršavanje zaposlenika, materijalne rashode, usluge telefona, pošte i prijevoza, tekućeg i investicijskog održavanja, komunalne usluge, zakupnine i najamnine osim najma vozila, zdravstvene usluge, intelektualne i osobne usluge, računalne usluge i ostale usluge. Prilikom planiranja sredstava za redovito poslovanje uzet je u obzir opći porast cijena uredskog materijala, osobito papirne konfekcije, električne energije, plina i goriva, kao i povećanje vrijednosti iznosa sistematskog pregleda na koje imaju pravo državni službenici i namještenici te zamjena dotrajale </w:t>
      </w:r>
      <w:r>
        <w:lastRenderedPageBreak/>
        <w:t xml:space="preserve">opreme za održavanje vodnih putova. Uzeti su u obzir povećani troškovi za zaštitarske usluge i usluge čišćenja zbog porasta cijene usluga, koji su između ostalog povezani i s promjenom minimalne plaće u Republici Hrvatskoj. </w:t>
      </w:r>
    </w:p>
    <w:p w:rsidR="002E3202" w:rsidRDefault="00391FE7">
      <w:r>
        <w:t>165.474 EUR od ukupno planiranih sredstava u 2024. godini, 195,766 EUR od ukupno planiranih sredstava u 2025. godini te 199.000 EUR od ukupno planiranih sredstava u 2026. godini namijenjeno je za nabavu namještaja, komunikacijske i ostale opreme.</w:t>
      </w:r>
    </w:p>
    <w:p w:rsidR="002E3202" w:rsidRDefault="00391FE7">
      <w:pPr>
        <w:pStyle w:val="Heading4"/>
      </w:pPr>
      <w:r>
        <w:t>K570319 OBNOVA VOZNOG PARKA</w:t>
      </w:r>
    </w:p>
    <w:p w:rsidR="002E3202" w:rsidRDefault="00391FE7">
      <w:pPr>
        <w:pStyle w:val="Heading8"/>
        <w:jc w:val="left"/>
      </w:pPr>
      <w:r>
        <w:t>Zakonske i druge pravne osnove</w:t>
      </w:r>
    </w:p>
    <w:p w:rsidR="002E3202" w:rsidRDefault="00391FE7">
      <w:r>
        <w:t>- Zakon o sustavu državne uprave članak 9. i članak 53.</w:t>
      </w:r>
    </w:p>
    <w:tbl>
      <w:tblPr>
        <w:tblStyle w:val="StilTablice"/>
        <w:tblW w:w="10206" w:type="dxa"/>
        <w:jc w:val="center"/>
        <w:tblLook w:val="04A0" w:firstRow="1" w:lastRow="0" w:firstColumn="1" w:lastColumn="0" w:noHBand="0" w:noVBand="1"/>
      </w:tblPr>
      <w:tblGrid>
        <w:gridCol w:w="1469"/>
        <w:gridCol w:w="1557"/>
        <w:gridCol w:w="1549"/>
        <w:gridCol w:w="1549"/>
        <w:gridCol w:w="1563"/>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K570319</w:t>
            </w:r>
          </w:p>
        </w:tc>
        <w:tc>
          <w:tcPr>
            <w:tcW w:w="1632" w:type="dxa"/>
            <w:vAlign w:val="top"/>
          </w:tcPr>
          <w:p w:rsidR="002E3202" w:rsidRDefault="00391FE7">
            <w:pPr>
              <w:jc w:val="right"/>
            </w:pPr>
            <w:r>
              <w:t>900.950</w:t>
            </w:r>
          </w:p>
        </w:tc>
        <w:tc>
          <w:tcPr>
            <w:tcW w:w="1632" w:type="dxa"/>
            <w:vAlign w:val="top"/>
          </w:tcPr>
          <w:p w:rsidR="002E3202" w:rsidRDefault="00391FE7">
            <w:pPr>
              <w:jc w:val="right"/>
            </w:pPr>
            <w:r>
              <w:t>459.844</w:t>
            </w:r>
          </w:p>
        </w:tc>
        <w:tc>
          <w:tcPr>
            <w:tcW w:w="1632" w:type="dxa"/>
            <w:vAlign w:val="top"/>
          </w:tcPr>
          <w:p w:rsidR="002E3202" w:rsidRDefault="00391FE7">
            <w:pPr>
              <w:jc w:val="right"/>
            </w:pPr>
            <w:r>
              <w:t>554.000</w:t>
            </w:r>
          </w:p>
        </w:tc>
        <w:tc>
          <w:tcPr>
            <w:tcW w:w="1632" w:type="dxa"/>
            <w:vAlign w:val="top"/>
          </w:tcPr>
          <w:p w:rsidR="002E3202" w:rsidRDefault="00391FE7">
            <w:pPr>
              <w:jc w:val="right"/>
            </w:pPr>
            <w:r>
              <w:t>1.149.243</w:t>
            </w:r>
          </w:p>
        </w:tc>
        <w:tc>
          <w:tcPr>
            <w:tcW w:w="1632" w:type="dxa"/>
            <w:vAlign w:val="top"/>
          </w:tcPr>
          <w:p w:rsidR="002E3202" w:rsidRDefault="00391FE7">
            <w:pPr>
              <w:jc w:val="right"/>
            </w:pPr>
            <w:r>
              <w:t>935.000</w:t>
            </w:r>
          </w:p>
        </w:tc>
        <w:tc>
          <w:tcPr>
            <w:tcW w:w="510" w:type="dxa"/>
            <w:vAlign w:val="top"/>
          </w:tcPr>
          <w:p w:rsidR="002E3202" w:rsidRDefault="00391FE7">
            <w:pPr>
              <w:jc w:val="right"/>
            </w:pPr>
            <w:r>
              <w:t>120,5</w:t>
            </w:r>
          </w:p>
        </w:tc>
      </w:tr>
    </w:tbl>
    <w:p w:rsidR="002E3202" w:rsidRDefault="002E3202">
      <w:pPr>
        <w:jc w:val="left"/>
      </w:pPr>
    </w:p>
    <w:p w:rsidR="002E3202" w:rsidRDefault="00391FE7">
      <w:r>
        <w:t xml:space="preserve">Ovom aktivnosti osiguravaju se sredstva za održavanje vozila, sredstva za zaključivanje novih ugovora o leasingu, zamjenu vozila te sredstva za pokriće troškova registracije vozila, izmjene guma, pranja i ostalih troškova vezanih uz vozni park. </w:t>
      </w:r>
    </w:p>
    <w:p w:rsidR="002E3202" w:rsidRDefault="00391FE7">
      <w:r>
        <w:t xml:space="preserve">354.000 EUR od ukupno planiranih sredstava u 2024. godini, 419.268 EUR od ukupno planiranih sredstava u 2025. godini te 435.00 EUR od ukupno planiranih sredstava u 2026. godini namijenjeno je usluge održavanja vozila, nabavu auto guma, podmirenje leasinga te registracije vozila. Prilikom planiranja sredstava uzeto je u obzir opće stanje na tržištu vezano uz cijene pneumatika, usluga servisiranja vozila te troškova registracije. </w:t>
      </w:r>
    </w:p>
    <w:p w:rsidR="002E3202" w:rsidRDefault="00391FE7">
      <w:r>
        <w:t>200.000 EUR od ukupno planiranih sredstava u 2024. godini, 729.975 EUR od ukupno planiranih sredstava u 2025. godini te 500.000 EUR od ukupno planiranih sredstava u 2026. godini namijenjeno je za zamjenu vozila. Sukladno Smjernicama za upravljanje voznim parkom propisano je da se automobili trebaju zadržati u voznom parku minimalno osam godina ili do dostignuća prelaska 150.000 km. Stoga se planira nastavak zamjene onih vozila koja po kriteriju starosti i/ili po kriteriju prijeđene kilometraže ispunjavaju uvjete za zamjenu.</w:t>
      </w:r>
    </w:p>
    <w:p w:rsidR="002E3202" w:rsidRDefault="00391FE7">
      <w:pPr>
        <w:pStyle w:val="Heading4"/>
      </w:pPr>
      <w:r>
        <w:t>K570321 INFORMATIZACIJA</w:t>
      </w:r>
    </w:p>
    <w:p w:rsidR="002E3202" w:rsidRDefault="00391FE7">
      <w:pPr>
        <w:pStyle w:val="Heading8"/>
        <w:jc w:val="left"/>
      </w:pPr>
      <w:r>
        <w:t>Zakonske i druge pravne osnove</w:t>
      </w:r>
    </w:p>
    <w:p w:rsidR="002E3202" w:rsidRDefault="00391FE7">
      <w:r>
        <w:t>- Zakon o sustavu državne uprave članak 9. i članak 53.</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K570321</w:t>
            </w:r>
          </w:p>
        </w:tc>
        <w:tc>
          <w:tcPr>
            <w:tcW w:w="1632" w:type="dxa"/>
            <w:vAlign w:val="top"/>
          </w:tcPr>
          <w:p w:rsidR="002E3202" w:rsidRDefault="00391FE7">
            <w:pPr>
              <w:jc w:val="right"/>
            </w:pPr>
            <w:r>
              <w:t>1.385.424</w:t>
            </w:r>
          </w:p>
        </w:tc>
        <w:tc>
          <w:tcPr>
            <w:tcW w:w="1632" w:type="dxa"/>
            <w:vAlign w:val="top"/>
          </w:tcPr>
          <w:p w:rsidR="002E3202" w:rsidRDefault="00391FE7">
            <w:pPr>
              <w:jc w:val="right"/>
            </w:pPr>
            <w:r>
              <w:t>1.908.750</w:t>
            </w:r>
          </w:p>
        </w:tc>
        <w:tc>
          <w:tcPr>
            <w:tcW w:w="1632" w:type="dxa"/>
            <w:vAlign w:val="top"/>
          </w:tcPr>
          <w:p w:rsidR="002E3202" w:rsidRDefault="00391FE7">
            <w:pPr>
              <w:jc w:val="right"/>
            </w:pPr>
            <w:r>
              <w:t>2.280.774</w:t>
            </w:r>
          </w:p>
        </w:tc>
        <w:tc>
          <w:tcPr>
            <w:tcW w:w="1632" w:type="dxa"/>
            <w:vAlign w:val="top"/>
          </w:tcPr>
          <w:p w:rsidR="002E3202" w:rsidRDefault="00391FE7">
            <w:pPr>
              <w:jc w:val="right"/>
            </w:pPr>
            <w:r>
              <w:t>2.424.756</w:t>
            </w:r>
          </w:p>
        </w:tc>
        <w:tc>
          <w:tcPr>
            <w:tcW w:w="1632" w:type="dxa"/>
            <w:vAlign w:val="top"/>
          </w:tcPr>
          <w:p w:rsidR="002E3202" w:rsidRDefault="00391FE7">
            <w:pPr>
              <w:jc w:val="right"/>
            </w:pPr>
            <w:r>
              <w:t>2.952.000</w:t>
            </w:r>
          </w:p>
        </w:tc>
        <w:tc>
          <w:tcPr>
            <w:tcW w:w="510" w:type="dxa"/>
            <w:vAlign w:val="top"/>
          </w:tcPr>
          <w:p w:rsidR="002E3202" w:rsidRDefault="00391FE7">
            <w:pPr>
              <w:jc w:val="right"/>
            </w:pPr>
            <w:r>
              <w:t>119,5</w:t>
            </w:r>
          </w:p>
        </w:tc>
      </w:tr>
    </w:tbl>
    <w:p w:rsidR="002E3202" w:rsidRDefault="002E3202">
      <w:pPr>
        <w:jc w:val="left"/>
      </w:pPr>
    </w:p>
    <w:p w:rsidR="002E3202" w:rsidRDefault="00391FE7">
      <w:r>
        <w:t xml:space="preserve">Ovom aktivnosti osiguravaju se sredstva za održavanje aplikacija, nabavu licenci te nabavu računalne i komunikacijske opreme. </w:t>
      </w:r>
    </w:p>
    <w:p w:rsidR="002E3202" w:rsidRDefault="00391FE7">
      <w:r>
        <w:t xml:space="preserve">1.699.426 EUR od ukupno planiranih sredstava u 2024. godini, 1.747.870 EUR od ukupno planiranih sredstava u 2025. godini te 1.753.000 EUR od ukupno planiranih sredstava u 2025. godini namijenjeno je za održavanje i nadogradnju aplikacija, nabavu licenci. Prilikom planiranja sredstava uzet je u obzir porasta razine informatizacije poslovnih procesa i prelazak na nove tehnologije, kao i porast cijena na tržištu što posljedično povećava troškove održavanja računalnih aplikacija. U obzir je uzet opći porast cijena licenci te činjenica da je većina licenci vezana uz tečaj američkog dolara, pri čemu se dio licenci obračunava po korisniku (npr. korisničke Microsoft licence ili antivirus) dok se ostatak obračunava paušalno, neovisno o broju korisnika. </w:t>
      </w:r>
    </w:p>
    <w:p w:rsidR="002E3202" w:rsidRDefault="00391FE7">
      <w:r>
        <w:t>428.717 EUR od ukupno planiranih sredstava u 2024. godini, 504.347 EUR od ukupno planiranih sredstava u 2025. godini te 1.026.000 EUR od ukupno planiranih sredstava u 2026. godini namijenjeno je za nabavu računalne i komunikacijske opreme te nadogradnje aplikacija čime se osigurava stabilnost sustava, sigurnost podataka te omogućuje pohranu sve većeg broja digitalnih zapisa.</w:t>
      </w:r>
    </w:p>
    <w:p w:rsidR="002E3202" w:rsidRDefault="00391FE7">
      <w:pPr>
        <w:pStyle w:val="Heading4"/>
      </w:pPr>
      <w:r>
        <w:lastRenderedPageBreak/>
        <w:t>K754026 PROVEDBA PROJEKTA E-GRAĐANI</w:t>
      </w:r>
    </w:p>
    <w:p w:rsidR="002E3202" w:rsidRDefault="00391FE7">
      <w:pPr>
        <w:pStyle w:val="Heading8"/>
        <w:jc w:val="left"/>
      </w:pPr>
      <w:r>
        <w:t>Zakonske i druge pravne osnove</w:t>
      </w:r>
    </w:p>
    <w:p w:rsidR="002E3202" w:rsidRDefault="00391FE7">
      <w:r>
        <w:t>- Zakon o sustavu državne uprave, članak 9. i članak 53.</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K754026</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1632" w:type="dxa"/>
            <w:vAlign w:val="top"/>
          </w:tcPr>
          <w:p w:rsidR="002E3202" w:rsidRDefault="00391FE7">
            <w:pPr>
              <w:jc w:val="right"/>
            </w:pPr>
            <w:r>
              <w:t>124.000</w:t>
            </w:r>
          </w:p>
        </w:tc>
        <w:tc>
          <w:tcPr>
            <w:tcW w:w="1632" w:type="dxa"/>
            <w:vAlign w:val="top"/>
          </w:tcPr>
          <w:p w:rsidR="002E3202" w:rsidRDefault="00391FE7">
            <w:pPr>
              <w:jc w:val="right"/>
            </w:pPr>
            <w:r>
              <w:t>112.723</w:t>
            </w:r>
          </w:p>
        </w:tc>
        <w:tc>
          <w:tcPr>
            <w:tcW w:w="1632" w:type="dxa"/>
            <w:vAlign w:val="top"/>
          </w:tcPr>
          <w:p w:rsidR="002E3202" w:rsidRDefault="00391FE7">
            <w:pPr>
              <w:jc w:val="right"/>
            </w:pPr>
            <w:r>
              <w:t>114.000</w:t>
            </w:r>
          </w:p>
        </w:tc>
        <w:tc>
          <w:tcPr>
            <w:tcW w:w="510" w:type="dxa"/>
            <w:vAlign w:val="top"/>
          </w:tcPr>
          <w:p w:rsidR="002E3202" w:rsidRDefault="00391FE7">
            <w:pPr>
              <w:jc w:val="right"/>
            </w:pPr>
            <w:r>
              <w:t>0,0</w:t>
            </w:r>
          </w:p>
        </w:tc>
      </w:tr>
    </w:tbl>
    <w:p w:rsidR="002E3202" w:rsidRDefault="002E3202">
      <w:pPr>
        <w:jc w:val="left"/>
      </w:pPr>
    </w:p>
    <w:p w:rsidR="002E3202" w:rsidRDefault="00391FE7">
      <w:r>
        <w:t>Ovom aktivnosti osiguravaju se sredstva za razvoj sustava e-građani, a radi pojednostavljenja i ubrzanja komunikacije između javne uprave i građana te povećanja transparentnosti javnog sektora u pružanju javnih usluga, omogućavaju se dostupne usluge na servisu e-građani.</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dostupnih usluga na servisu e-građani</w:t>
            </w:r>
          </w:p>
        </w:tc>
        <w:tc>
          <w:tcPr>
            <w:tcW w:w="2245" w:type="dxa"/>
            <w:vAlign w:val="top"/>
          </w:tcPr>
          <w:p w:rsidR="002E3202" w:rsidRDefault="00391FE7">
            <w:pPr>
              <w:pStyle w:val="CellColumn"/>
              <w:jc w:val="left"/>
            </w:pPr>
            <w:r>
              <w:rPr>
                <w:rFonts w:cs="Times New Roman"/>
              </w:rPr>
              <w:t>Broj dostupnih usluga od strane Ministarstva mora, prometa i infrastrukture na servisu e-građani</w:t>
            </w:r>
          </w:p>
        </w:tc>
        <w:tc>
          <w:tcPr>
            <w:tcW w:w="918" w:type="dxa"/>
          </w:tcPr>
          <w:p w:rsidR="002E3202" w:rsidRDefault="00391FE7">
            <w:pPr>
              <w:jc w:val="center"/>
            </w:pPr>
            <w:r>
              <w:t>broj</w:t>
            </w:r>
          </w:p>
        </w:tc>
        <w:tc>
          <w:tcPr>
            <w:tcW w:w="918" w:type="dxa"/>
          </w:tcPr>
          <w:p w:rsidR="002E3202" w:rsidRDefault="00391FE7">
            <w:pPr>
              <w:jc w:val="center"/>
            </w:pPr>
            <w:r>
              <w:t>2</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3</w:t>
            </w:r>
          </w:p>
        </w:tc>
        <w:tc>
          <w:tcPr>
            <w:tcW w:w="918" w:type="dxa"/>
          </w:tcPr>
          <w:p w:rsidR="002E3202" w:rsidRDefault="00391FE7">
            <w:pPr>
              <w:jc w:val="center"/>
            </w:pPr>
            <w:r>
              <w:t>4</w:t>
            </w:r>
          </w:p>
        </w:tc>
        <w:tc>
          <w:tcPr>
            <w:tcW w:w="918" w:type="dxa"/>
          </w:tcPr>
          <w:p w:rsidR="002E3202" w:rsidRDefault="00391FE7">
            <w:pPr>
              <w:jc w:val="center"/>
            </w:pPr>
            <w:r>
              <w:t>5</w:t>
            </w:r>
          </w:p>
        </w:tc>
      </w:tr>
    </w:tbl>
    <w:p w:rsidR="002E3202" w:rsidRDefault="002E3202">
      <w:pPr>
        <w:jc w:val="left"/>
      </w:pPr>
    </w:p>
    <w:p w:rsidR="002E3202" w:rsidRDefault="00391FE7">
      <w:pPr>
        <w:pStyle w:val="Heading4"/>
      </w:pPr>
      <w:r>
        <w:t>K810016 REKONSTRUKCIJA, OBNOVA I ODRŽAVANJE POSLOVNIH ZGRADA MINISTARSTVA</w:t>
      </w:r>
    </w:p>
    <w:p w:rsidR="002E3202" w:rsidRDefault="00391FE7">
      <w:pPr>
        <w:pStyle w:val="Heading8"/>
        <w:jc w:val="left"/>
      </w:pPr>
      <w:r>
        <w:t>Zakonske i druge pravne osnove</w:t>
      </w:r>
    </w:p>
    <w:p w:rsidR="002E3202" w:rsidRDefault="00391FE7">
      <w:r>
        <w:t xml:space="preserve">- Zakon o sustavu državne uprave, članak 9. i članak 53. </w:t>
      </w:r>
    </w:p>
    <w:p w:rsidR="002E3202" w:rsidRDefault="00391FE7">
      <w:r>
        <w:t>- Zakon o upravljanju državnom imovinom</w:t>
      </w:r>
    </w:p>
    <w:tbl>
      <w:tblPr>
        <w:tblStyle w:val="StilTablice"/>
        <w:tblW w:w="10206" w:type="dxa"/>
        <w:jc w:val="center"/>
        <w:tblLook w:val="04A0" w:firstRow="1" w:lastRow="0" w:firstColumn="1" w:lastColumn="0" w:noHBand="0" w:noVBand="1"/>
      </w:tblPr>
      <w:tblGrid>
        <w:gridCol w:w="1469"/>
        <w:gridCol w:w="1557"/>
        <w:gridCol w:w="1549"/>
        <w:gridCol w:w="1563"/>
        <w:gridCol w:w="1549"/>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K810016</w:t>
            </w:r>
          </w:p>
        </w:tc>
        <w:tc>
          <w:tcPr>
            <w:tcW w:w="1632" w:type="dxa"/>
            <w:vAlign w:val="top"/>
          </w:tcPr>
          <w:p w:rsidR="002E3202" w:rsidRDefault="00391FE7">
            <w:pPr>
              <w:jc w:val="right"/>
            </w:pPr>
            <w:r>
              <w:t>718.848</w:t>
            </w:r>
          </w:p>
        </w:tc>
        <w:tc>
          <w:tcPr>
            <w:tcW w:w="1632" w:type="dxa"/>
            <w:vAlign w:val="top"/>
          </w:tcPr>
          <w:p w:rsidR="002E3202" w:rsidRDefault="00391FE7">
            <w:pPr>
              <w:jc w:val="right"/>
            </w:pPr>
            <w:r>
              <w:t>498.621</w:t>
            </w:r>
          </w:p>
        </w:tc>
        <w:tc>
          <w:tcPr>
            <w:tcW w:w="1632" w:type="dxa"/>
            <w:vAlign w:val="top"/>
          </w:tcPr>
          <w:p w:rsidR="002E3202" w:rsidRDefault="00391FE7">
            <w:pPr>
              <w:jc w:val="right"/>
            </w:pPr>
            <w:r>
              <w:t>1.717.528</w:t>
            </w:r>
          </w:p>
        </w:tc>
        <w:tc>
          <w:tcPr>
            <w:tcW w:w="1632" w:type="dxa"/>
            <w:vAlign w:val="top"/>
          </w:tcPr>
          <w:p w:rsidR="002E3202" w:rsidRDefault="00391FE7">
            <w:pPr>
              <w:jc w:val="right"/>
            </w:pPr>
            <w:r>
              <w:t>886.270</w:t>
            </w:r>
          </w:p>
        </w:tc>
        <w:tc>
          <w:tcPr>
            <w:tcW w:w="1632" w:type="dxa"/>
            <w:vAlign w:val="top"/>
          </w:tcPr>
          <w:p w:rsidR="002E3202" w:rsidRDefault="00391FE7">
            <w:pPr>
              <w:jc w:val="right"/>
            </w:pPr>
            <w:r>
              <w:t>587.181</w:t>
            </w:r>
          </w:p>
        </w:tc>
        <w:tc>
          <w:tcPr>
            <w:tcW w:w="510" w:type="dxa"/>
            <w:vAlign w:val="top"/>
          </w:tcPr>
          <w:p w:rsidR="002E3202" w:rsidRDefault="00391FE7">
            <w:pPr>
              <w:jc w:val="right"/>
            </w:pPr>
            <w:r>
              <w:t>344,5</w:t>
            </w:r>
          </w:p>
        </w:tc>
      </w:tr>
    </w:tbl>
    <w:p w:rsidR="002E3202" w:rsidRDefault="002E3202">
      <w:pPr>
        <w:jc w:val="left"/>
      </w:pPr>
    </w:p>
    <w:p w:rsidR="002E3202" w:rsidRDefault="00391FE7">
      <w:r>
        <w:t xml:space="preserve">Ovom aktivnosti osiguravaju se sredstva za održavanje poslovnog objekta Kockica, koja predstavlja vrlo vrijedno djelo hrvatske arhitekture i tretira se kao spomenik kulture, s ciljem očuvanja i povećanja vrijednosti objekta, a u skladu sa Zakonom o upravljanju državnom imovinom i Zakonom o zaštiti na radu te poslovnih prostora inspekcije i Uprave unutarnje plovidbe izvan sjedišta Ministarstva. </w:t>
      </w:r>
    </w:p>
    <w:p w:rsidR="002E3202" w:rsidRDefault="00391FE7">
      <w:r>
        <w:t xml:space="preserve">871.075 EUR od ukupno planiranih sredstava u 2024. godini, 833.181 EUR od ukupno planiranih sredstava u 2025. godini te 534.000 EUR od ukupno planiranih sredstava u 2026. godini namijenjeno je za održavanje zgrade Kockica te poslovnih prostora inspekcije i Uprave unutarnje plovidbe izvan sjedišta Ministarstva. </w:t>
      </w:r>
    </w:p>
    <w:p w:rsidR="002E3202" w:rsidRDefault="00391FE7">
      <w:r>
        <w:t xml:space="preserve"> </w:t>
      </w:r>
    </w:p>
    <w:p w:rsidR="002E3202" w:rsidRDefault="00391FE7">
      <w:r>
        <w:t xml:space="preserve">400.000 EUR od ukupno planiranih sredstava u 2024. godini, namijenjeno je za sufinanciranje sanacije asfaltne površine oko zgrade Kockica. </w:t>
      </w:r>
    </w:p>
    <w:p w:rsidR="002E3202" w:rsidRDefault="00391FE7">
      <w:r>
        <w:t xml:space="preserve"> </w:t>
      </w:r>
    </w:p>
    <w:p w:rsidR="002E3202" w:rsidRDefault="00391FE7">
      <w:r>
        <w:t>400.000 EUR od ukupno planiranih sredstava u 2024. godini, namijenjeno je za nabavu i ugradnju opreme za solarnu elektranu u cilju dodatnog povećanja energetske učinkovitosti zgrade Kockica.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izvršenja ugovora o nabavi i ugradnja opreme za solarnu elektranu na zgradi Kockica</w:t>
            </w:r>
          </w:p>
        </w:tc>
        <w:tc>
          <w:tcPr>
            <w:tcW w:w="2245" w:type="dxa"/>
            <w:vAlign w:val="top"/>
          </w:tcPr>
          <w:p w:rsidR="002E3202" w:rsidRDefault="00391FE7">
            <w:pPr>
              <w:pStyle w:val="CellColumn"/>
              <w:jc w:val="left"/>
            </w:pPr>
            <w:r>
              <w:rPr>
                <w:rFonts w:cs="Times New Roman"/>
              </w:rPr>
              <w:t>Izvršenje ugovorenih radova ugradnje opreme za solarnu elektranu na zgradi Kockica</w:t>
            </w:r>
          </w:p>
        </w:tc>
        <w:tc>
          <w:tcPr>
            <w:tcW w:w="918" w:type="dxa"/>
          </w:tcPr>
          <w:p w:rsidR="002E3202" w:rsidRDefault="00391FE7">
            <w:pPr>
              <w:jc w:val="center"/>
            </w:pPr>
            <w:r>
              <w:t>%</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391FE7">
            <w:pPr>
              <w:jc w:val="center"/>
            </w:pPr>
            <w:r>
              <w:t>-</w:t>
            </w:r>
          </w:p>
        </w:tc>
        <w:tc>
          <w:tcPr>
            <w:tcW w:w="918" w:type="dxa"/>
          </w:tcPr>
          <w:p w:rsidR="002E3202" w:rsidRDefault="00391FE7">
            <w:pPr>
              <w:jc w:val="center"/>
            </w:pPr>
            <w:r>
              <w:t>-</w:t>
            </w:r>
          </w:p>
        </w:tc>
      </w:tr>
    </w:tbl>
    <w:p w:rsidR="002E3202" w:rsidRDefault="002E3202">
      <w:pPr>
        <w:jc w:val="left"/>
      </w:pPr>
    </w:p>
    <w:p w:rsidR="002E3202" w:rsidRDefault="00391FE7">
      <w:pPr>
        <w:pStyle w:val="Heading4"/>
      </w:pPr>
      <w:r>
        <w:t>T754069 PROGRAM DODJELE DRŽAVNIH POTPORA SEKTORU MORA, PROMETA, PROMETNE INFRASTRUKTURE I POVEZANIM DJELATNOSTIMA U AKTUALNOJ PANDEMIJI COVID-a 19</w:t>
      </w:r>
    </w:p>
    <w:p w:rsidR="002E3202" w:rsidRDefault="00391FE7">
      <w:pPr>
        <w:pStyle w:val="Heading8"/>
        <w:jc w:val="left"/>
      </w:pPr>
      <w:r>
        <w:t>Zakonske i druge pravne osnove</w:t>
      </w:r>
    </w:p>
    <w:p w:rsidR="002E3202" w:rsidRDefault="00391FE7">
      <w:r>
        <w:t xml:space="preserve">- Komunikacija Komisije - Privremeni okvir za mjere državnih potpora u svrhu podrške gospodarstvu u aktualnoj pandemiji COVID - 19. </w:t>
      </w:r>
    </w:p>
    <w:p w:rsidR="002E3202" w:rsidRDefault="00391FE7">
      <w:r>
        <w:t xml:space="preserve">- Odluka o usvajanju Programa dodjele državnih potpora sektoru mora, prometa, prometne infrastrukture i povezanim djelatnostima u aktualnoj pandemiji COVID-a 19 (NN 77/20.) </w:t>
      </w:r>
    </w:p>
    <w:p w:rsidR="002E3202" w:rsidRDefault="00391FE7">
      <w:r>
        <w:t xml:space="preserve">- Odluka Vlade RH o izmjenama i dopunama Programa dodjele državnih potpora sektoru mora, prometa, prometne infrastrukture i povezanim djelatnostima u aktualnoj pandemiji COVID-a 19 (NN 116/20., 5/21., 114/21., 41/22., 64/22. i 72/22.) </w:t>
      </w:r>
    </w:p>
    <w:p w:rsidR="002E3202" w:rsidRDefault="00391FE7">
      <w:r>
        <w:t xml:space="preserve">- Sporazum o suradnji u provedbi Programa dodjele državnih potpora između MMPI i HABOR-a </w:t>
      </w:r>
    </w:p>
    <w:p w:rsidR="002E3202" w:rsidRDefault="00391FE7">
      <w:r>
        <w:t xml:space="preserve">- Protokol o operativnoj provedbi Sporazuma između MMPI i HBOR </w:t>
      </w:r>
    </w:p>
    <w:p w:rsidR="002E3202" w:rsidRDefault="00391FE7">
      <w:r>
        <w:t xml:space="preserve">- Ugovor o regresnoj naplati između MMPI i poslovnih banaka </w:t>
      </w:r>
    </w:p>
    <w:p w:rsidR="002E3202" w:rsidRDefault="00391FE7">
      <w:r>
        <w:t>- Službeni Registar državnih potpora</w:t>
      </w:r>
    </w:p>
    <w:tbl>
      <w:tblPr>
        <w:tblStyle w:val="StilTablice"/>
        <w:tblW w:w="10206" w:type="dxa"/>
        <w:jc w:val="center"/>
        <w:tblLook w:val="04A0" w:firstRow="1" w:lastRow="0" w:firstColumn="1" w:lastColumn="0" w:noHBand="0" w:noVBand="1"/>
      </w:tblPr>
      <w:tblGrid>
        <w:gridCol w:w="1471"/>
        <w:gridCol w:w="1573"/>
        <w:gridCol w:w="1548"/>
        <w:gridCol w:w="1548"/>
        <w:gridCol w:w="1548"/>
        <w:gridCol w:w="1548"/>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T754069</w:t>
            </w:r>
          </w:p>
        </w:tc>
        <w:tc>
          <w:tcPr>
            <w:tcW w:w="1632" w:type="dxa"/>
            <w:vAlign w:val="top"/>
          </w:tcPr>
          <w:p w:rsidR="002E3202" w:rsidRDefault="00391FE7">
            <w:pPr>
              <w:jc w:val="right"/>
            </w:pPr>
            <w:r>
              <w:t>51.947.270</w:t>
            </w:r>
          </w:p>
        </w:tc>
        <w:tc>
          <w:tcPr>
            <w:tcW w:w="1632" w:type="dxa"/>
            <w:vAlign w:val="top"/>
          </w:tcPr>
          <w:p w:rsidR="002E3202" w:rsidRDefault="00391FE7">
            <w:pPr>
              <w:jc w:val="right"/>
            </w:pPr>
            <w:r>
              <w:t>859.504</w:t>
            </w:r>
          </w:p>
        </w:tc>
        <w:tc>
          <w:tcPr>
            <w:tcW w:w="1632" w:type="dxa"/>
            <w:vAlign w:val="top"/>
          </w:tcPr>
          <w:p w:rsidR="002E3202" w:rsidRDefault="00391FE7">
            <w:pPr>
              <w:jc w:val="right"/>
            </w:pPr>
            <w:r>
              <w:t>817.843</w:t>
            </w:r>
          </w:p>
        </w:tc>
        <w:tc>
          <w:tcPr>
            <w:tcW w:w="1632" w:type="dxa"/>
            <w:vAlign w:val="top"/>
          </w:tcPr>
          <w:p w:rsidR="002E3202" w:rsidRDefault="00391FE7">
            <w:pPr>
              <w:jc w:val="right"/>
            </w:pPr>
            <w:r>
              <w:t>644.046</w:t>
            </w:r>
          </w:p>
        </w:tc>
        <w:tc>
          <w:tcPr>
            <w:tcW w:w="1632" w:type="dxa"/>
            <w:vAlign w:val="top"/>
          </w:tcPr>
          <w:p w:rsidR="002E3202" w:rsidRDefault="00391FE7">
            <w:pPr>
              <w:jc w:val="right"/>
            </w:pPr>
            <w:r>
              <w:t>644.046</w:t>
            </w:r>
          </w:p>
        </w:tc>
        <w:tc>
          <w:tcPr>
            <w:tcW w:w="510" w:type="dxa"/>
            <w:vAlign w:val="top"/>
          </w:tcPr>
          <w:p w:rsidR="002E3202" w:rsidRDefault="00391FE7">
            <w:pPr>
              <w:jc w:val="right"/>
            </w:pPr>
            <w:r>
              <w:t>95,2</w:t>
            </w:r>
          </w:p>
        </w:tc>
      </w:tr>
    </w:tbl>
    <w:p w:rsidR="002E3202" w:rsidRDefault="002E3202">
      <w:pPr>
        <w:jc w:val="left"/>
      </w:pPr>
    </w:p>
    <w:p w:rsidR="002E3202" w:rsidRDefault="00391FE7">
      <w:r>
        <w:t xml:space="preserve">Instrumenti državne potpore uređeni ovim Programom su državna jamstva (u daljnjem tekstu: jamstvo) za nove zajmove i ugovore o leasingu poduzetnika kod kreditnih i financijskih institucija te Hrvatske banke za obnovu i razvitak, potpore u obliku subvencioniranih kamatnih stopa za zajmove i potpore u obliku dokapitalizacije. U slučaju dodjeljivanja potpora iz ovog Programa korisnicima za potrebe refinanciranja ili restrukturiranje postojećih obaveza kod kreditnih i financijskih institucija, korist od novih plasmana osiguranih držanim jamstvom prenijet će se upravo na krajnje korisnike u obliku smanjenja postojećih kamatnih stopa, produljenja roka otplate kredita ili leasinga (s uključenim počekom) te povrata, odnosno stavljanja izvan snage danih osobnih instrumenata osiguranja od strane fizičkih osoba vlasnika društava, koja su korisnici jamstva. </w:t>
      </w:r>
    </w:p>
    <w:p w:rsidR="002E3202" w:rsidRDefault="00391FE7">
      <w:r>
        <w:t xml:space="preserve">Posljednjim izmjenama i dopunama Programa dodjele državnih potpora sektoru mora, prometa, prometne infrastrukture i povezanim djelatnostima u aktualnoj pandemiji COVID-a 19 (NN 72/22.), ukupan iznos proračuna, planiran na temelju ovog Programa, povećan je na ukupno 382.905.302 eura, odnosno za pojedine instrumente, prema Privremenom okviru, iznosi: </w:t>
      </w:r>
    </w:p>
    <w:p w:rsidR="002E3202" w:rsidRDefault="00391FE7">
      <w:r>
        <w:t xml:space="preserve">- odjeljak 3.1. - za dodjelu potpora u obliku državnih jamstva koja se mogu izdavati ne samo za nove zajmove (kao do sada) već i za ugovore o leasingu poduzetnika kod kreditnih i financijskih institucija te HBOR-a (prema odluci EK u predmetu broj SA.103135) ukupna svota za velike poduzetnike povećana je na 151.304 eura, a za male poduzetnike na 92.906 eura </w:t>
      </w:r>
    </w:p>
    <w:p w:rsidR="002E3202" w:rsidRDefault="00391FE7">
      <w:r>
        <w:t xml:space="preserve">- odjeljak 3.3. - uvedena je dodatna mjera državne potpore u obliku subvencioniranih kamatnih stopa na zajmove poduzetnicima u sektoru civilnog zračnog prometa (Croatia Airlines i/ili drugi) (prema odluci EK u predmetu broj SA.102436, a procijenjeni proračun ove nove mjere iznosi 45.656.646 eura) </w:t>
      </w:r>
    </w:p>
    <w:p w:rsidR="002E3202" w:rsidRDefault="00391FE7">
      <w:r>
        <w:t xml:space="preserve">- odjeljak 3.11. - dodatna mjera državne potpore poduzetnicima aktivnim u sektoru civilnog zračnog prometa za mjere dokapitalizacije (Croatia Airlines i/ili drugi) (prema odluci EK u predmetu broj SA.103028 procijenjeni proračun ove nove mjere iznosi 85.738.934 eura </w:t>
      </w:r>
    </w:p>
    <w:p w:rsidR="002E3202" w:rsidRDefault="00391FE7">
      <w:r>
        <w:t>Prihvatljivi korisnici Programa su poduzetnici svrstani u mala, srednja i velika poduzeća prema kategorijama poduzeća iz Uredbe Komisije (EU br. 651/2014. od 17.06.2014. godine o ocjenjivanju određenih kategorija potpora spojivim s unutrašnjim tržištem o primjeni čl. 107. i 108. UFEU (Ugovor o funkcioniranju EU).</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Plaćanja protestiranih jamstava s osnove sklopljenih ugovora o jamstvu na prvi poziv</w:t>
            </w:r>
          </w:p>
        </w:tc>
        <w:tc>
          <w:tcPr>
            <w:tcW w:w="2245" w:type="dxa"/>
            <w:vAlign w:val="top"/>
          </w:tcPr>
          <w:p w:rsidR="002E3202" w:rsidRDefault="00391FE7">
            <w:pPr>
              <w:pStyle w:val="CellColumn"/>
              <w:jc w:val="left"/>
            </w:pPr>
            <w:r>
              <w:rPr>
                <w:rFonts w:cs="Times New Roman"/>
              </w:rPr>
              <w:t>Procjena očekivane stope gubitka - plaćanja po pozvanim jamstvima (protest) od strane jamca (države) u odnosu na vrijednost izdanih jamstava</w:t>
            </w:r>
          </w:p>
        </w:tc>
        <w:tc>
          <w:tcPr>
            <w:tcW w:w="918" w:type="dxa"/>
          </w:tcPr>
          <w:p w:rsidR="002E3202" w:rsidRDefault="00391FE7">
            <w:pPr>
              <w:jc w:val="center"/>
            </w:pPr>
            <w:r>
              <w:t>%</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 Registar državnih potpora</w:t>
            </w:r>
          </w:p>
        </w:tc>
        <w:tc>
          <w:tcPr>
            <w:tcW w:w="918" w:type="dxa"/>
          </w:tcPr>
          <w:p w:rsidR="002E3202" w:rsidRDefault="00391FE7">
            <w:pPr>
              <w:jc w:val="center"/>
            </w:pPr>
            <w:r>
              <w:t>3,8</w:t>
            </w:r>
          </w:p>
        </w:tc>
        <w:tc>
          <w:tcPr>
            <w:tcW w:w="918" w:type="dxa"/>
          </w:tcPr>
          <w:p w:rsidR="002E3202" w:rsidRDefault="00391FE7">
            <w:pPr>
              <w:jc w:val="center"/>
            </w:pPr>
            <w:r>
              <w:t>3,8</w:t>
            </w:r>
          </w:p>
        </w:tc>
        <w:tc>
          <w:tcPr>
            <w:tcW w:w="918" w:type="dxa"/>
          </w:tcPr>
          <w:p w:rsidR="002E3202" w:rsidRDefault="00391FE7">
            <w:pPr>
              <w:jc w:val="center"/>
            </w:pPr>
            <w:r>
              <w:t>3,8</w:t>
            </w:r>
          </w:p>
        </w:tc>
      </w:tr>
    </w:tbl>
    <w:p w:rsidR="002E3202" w:rsidRDefault="002E3202">
      <w:pPr>
        <w:jc w:val="left"/>
      </w:pPr>
    </w:p>
    <w:p w:rsidR="002E3202" w:rsidRDefault="00391FE7">
      <w:pPr>
        <w:pStyle w:val="Heading3"/>
      </w:pPr>
      <w:r>
        <w:rPr>
          <w:rFonts w:cs="Times New Roman"/>
        </w:rPr>
        <w:t>3107 RAZVOJ TRŽIŠTA POŠTANSKIH USLUGA I ELEKTRONIČKIH KOMUNIKACIJA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3107</w:t>
            </w:r>
          </w:p>
        </w:tc>
        <w:tc>
          <w:tcPr>
            <w:tcW w:w="1632" w:type="dxa"/>
          </w:tcPr>
          <w:p w:rsidR="002E3202" w:rsidRDefault="00391FE7">
            <w:pPr>
              <w:jc w:val="right"/>
            </w:pPr>
            <w:r>
              <w:t>13.387.726</w:t>
            </w:r>
          </w:p>
        </w:tc>
        <w:tc>
          <w:tcPr>
            <w:tcW w:w="1632" w:type="dxa"/>
          </w:tcPr>
          <w:p w:rsidR="002E3202" w:rsidRDefault="00391FE7">
            <w:pPr>
              <w:jc w:val="right"/>
            </w:pPr>
            <w:r>
              <w:t>14.423.741</w:t>
            </w:r>
          </w:p>
        </w:tc>
        <w:tc>
          <w:tcPr>
            <w:tcW w:w="1632" w:type="dxa"/>
          </w:tcPr>
          <w:p w:rsidR="002E3202" w:rsidRDefault="00391FE7">
            <w:pPr>
              <w:jc w:val="right"/>
            </w:pPr>
            <w:r>
              <w:t>25.182.839</w:t>
            </w:r>
          </w:p>
        </w:tc>
        <w:tc>
          <w:tcPr>
            <w:tcW w:w="1632" w:type="dxa"/>
          </w:tcPr>
          <w:p w:rsidR="002E3202" w:rsidRDefault="00391FE7">
            <w:pPr>
              <w:jc w:val="right"/>
            </w:pPr>
            <w:r>
              <w:t>14.492.685</w:t>
            </w:r>
          </w:p>
        </w:tc>
        <w:tc>
          <w:tcPr>
            <w:tcW w:w="1632" w:type="dxa"/>
          </w:tcPr>
          <w:p w:rsidR="002E3202" w:rsidRDefault="00391FE7">
            <w:pPr>
              <w:jc w:val="right"/>
            </w:pPr>
            <w:r>
              <w:t>14.492.685</w:t>
            </w:r>
          </w:p>
        </w:tc>
        <w:tc>
          <w:tcPr>
            <w:tcW w:w="510" w:type="dxa"/>
          </w:tcPr>
          <w:p w:rsidR="002E3202" w:rsidRDefault="00391FE7">
            <w:pPr>
              <w:jc w:val="right"/>
            </w:pPr>
            <w:r>
              <w:t>174,6</w:t>
            </w:r>
          </w:p>
        </w:tc>
      </w:tr>
    </w:tbl>
    <w:p w:rsidR="002E3202" w:rsidRDefault="002E3202">
      <w:pPr>
        <w:jc w:val="left"/>
      </w:pPr>
    </w:p>
    <w:p w:rsidR="002E3202" w:rsidRDefault="00391FE7">
      <w:pPr>
        <w:pStyle w:val="Heading8"/>
        <w:jc w:val="left"/>
      </w:pPr>
      <w:r>
        <w:t>Cilj 1. Visoka i ujednačena razvijenost širokopojasnog pristupa internetu</w:t>
      </w:r>
    </w:p>
    <w:p w:rsidR="002E3202" w:rsidRDefault="00391FE7">
      <w:pPr>
        <w:pStyle w:val="Heading8"/>
        <w:jc w:val="left"/>
      </w:pPr>
      <w:r>
        <w:t>Cilj 2. Razvijeno tržište poštanskih usluga</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68"/>
        <w:gridCol w:w="2268"/>
        <w:gridCol w:w="927"/>
        <w:gridCol w:w="927"/>
        <w:gridCol w:w="1035"/>
        <w:gridCol w:w="927"/>
        <w:gridCol w:w="927"/>
        <w:gridCol w:w="927"/>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Udjel kućanstava u Republici Hrvatskoj kojima je dostupan širokopojasni pristup s brzinom u smjeru korisnika od najmanje 100 Mbit/s, uz mogućnost nadogradnje na brzine do 1 Gbit/s</w:t>
            </w:r>
          </w:p>
        </w:tc>
        <w:tc>
          <w:tcPr>
            <w:tcW w:w="2245" w:type="dxa"/>
            <w:vAlign w:val="top"/>
          </w:tcPr>
          <w:p w:rsidR="002E3202" w:rsidRDefault="00391FE7">
            <w:pPr>
              <w:pStyle w:val="CellColumn"/>
              <w:jc w:val="left"/>
            </w:pPr>
            <w:r>
              <w:rPr>
                <w:rFonts w:cs="Times New Roman"/>
              </w:rPr>
              <w:t>Povećanje dostupnosti širokopojasne infrastrukture putem uvođenja mreža vrlo velikog kapaciteta u kućanstva na cijelom području Republike Hrvatske</w:t>
            </w:r>
          </w:p>
        </w:tc>
        <w:tc>
          <w:tcPr>
            <w:tcW w:w="918" w:type="dxa"/>
          </w:tcPr>
          <w:p w:rsidR="002E3202" w:rsidRDefault="00391FE7">
            <w:pPr>
              <w:jc w:val="center"/>
            </w:pPr>
            <w:r>
              <w:t>%</w:t>
            </w:r>
          </w:p>
        </w:tc>
        <w:tc>
          <w:tcPr>
            <w:tcW w:w="918" w:type="dxa"/>
          </w:tcPr>
          <w:p w:rsidR="002E3202" w:rsidRDefault="00391FE7">
            <w:pPr>
              <w:jc w:val="center"/>
            </w:pPr>
            <w:r>
              <w:t>61</w:t>
            </w:r>
          </w:p>
        </w:tc>
        <w:tc>
          <w:tcPr>
            <w:tcW w:w="918" w:type="dxa"/>
          </w:tcPr>
          <w:p w:rsidR="002E3202" w:rsidRDefault="00391FE7">
            <w:pPr>
              <w:pStyle w:val="CellColumn"/>
              <w:jc w:val="center"/>
            </w:pPr>
            <w:r>
              <w:rPr>
                <w:rFonts w:cs="Times New Roman"/>
              </w:rPr>
              <w:t>Europska komisija – Izvješće o stanju digitalnog desetljeća</w:t>
            </w:r>
          </w:p>
        </w:tc>
        <w:tc>
          <w:tcPr>
            <w:tcW w:w="918" w:type="dxa"/>
          </w:tcPr>
          <w:p w:rsidR="002E3202" w:rsidRDefault="00391FE7">
            <w:pPr>
              <w:jc w:val="center"/>
            </w:pPr>
            <w:r>
              <w:t>70</w:t>
            </w:r>
          </w:p>
        </w:tc>
        <w:tc>
          <w:tcPr>
            <w:tcW w:w="918" w:type="dxa"/>
          </w:tcPr>
          <w:p w:rsidR="002E3202" w:rsidRDefault="00391FE7">
            <w:pPr>
              <w:jc w:val="center"/>
            </w:pPr>
            <w:r>
              <w:t>100</w:t>
            </w:r>
          </w:p>
        </w:tc>
        <w:tc>
          <w:tcPr>
            <w:tcW w:w="918" w:type="dxa"/>
          </w:tcPr>
          <w:p w:rsidR="002E3202" w:rsidRDefault="00391FE7">
            <w:pPr>
              <w:jc w:val="center"/>
            </w:pPr>
            <w:r>
              <w:t>100</w:t>
            </w:r>
          </w:p>
        </w:tc>
      </w:tr>
      <w:tr w:rsidR="002E3202">
        <w:trPr>
          <w:jc w:val="center"/>
        </w:trPr>
        <w:tc>
          <w:tcPr>
            <w:tcW w:w="2245" w:type="dxa"/>
            <w:vAlign w:val="top"/>
          </w:tcPr>
          <w:p w:rsidR="002E3202" w:rsidRDefault="00391FE7">
            <w:pPr>
              <w:pStyle w:val="CellColumn"/>
              <w:jc w:val="left"/>
            </w:pPr>
            <w:r>
              <w:rPr>
                <w:rFonts w:cs="Times New Roman"/>
              </w:rPr>
              <w:t>Broj redovitih poštanskih ureda u mreži poštanskih ureda davatelja univerzalne usluge</w:t>
            </w:r>
          </w:p>
        </w:tc>
        <w:tc>
          <w:tcPr>
            <w:tcW w:w="2245" w:type="dxa"/>
            <w:vAlign w:val="top"/>
          </w:tcPr>
          <w:p w:rsidR="002E3202" w:rsidRDefault="00391FE7">
            <w:pPr>
              <w:pStyle w:val="CellColumn"/>
              <w:jc w:val="left"/>
            </w:pPr>
            <w:r>
              <w:rPr>
                <w:rFonts w:cs="Times New Roman"/>
              </w:rPr>
              <w:t>Davatelj univerzalne usluge obvezan je ustrojiti mrežu poštanskih ureda tako da mrežu poštanskih ureda mora činiti najmanje 700 redovitih poštanskih ureda</w:t>
            </w:r>
          </w:p>
        </w:tc>
        <w:tc>
          <w:tcPr>
            <w:tcW w:w="918" w:type="dxa"/>
          </w:tcPr>
          <w:p w:rsidR="002E3202" w:rsidRDefault="00391FE7">
            <w:pPr>
              <w:jc w:val="center"/>
            </w:pPr>
            <w:r>
              <w:t>broj</w:t>
            </w:r>
          </w:p>
        </w:tc>
        <w:tc>
          <w:tcPr>
            <w:tcW w:w="918" w:type="dxa"/>
          </w:tcPr>
          <w:p w:rsidR="002E3202" w:rsidRDefault="00391FE7">
            <w:pPr>
              <w:jc w:val="center"/>
            </w:pPr>
            <w:r>
              <w:t>≥ 700</w:t>
            </w:r>
          </w:p>
        </w:tc>
        <w:tc>
          <w:tcPr>
            <w:tcW w:w="918" w:type="dxa"/>
          </w:tcPr>
          <w:p w:rsidR="002E3202" w:rsidRDefault="00391FE7">
            <w:pPr>
              <w:pStyle w:val="CellColumn"/>
              <w:jc w:val="center"/>
            </w:pPr>
            <w:r>
              <w:rPr>
                <w:rFonts w:cs="Times New Roman"/>
              </w:rPr>
              <w:t>Hrvatska regulatorna agencija za mrežne djelatnosti</w:t>
            </w:r>
          </w:p>
        </w:tc>
        <w:tc>
          <w:tcPr>
            <w:tcW w:w="918" w:type="dxa"/>
          </w:tcPr>
          <w:p w:rsidR="002E3202" w:rsidRDefault="00391FE7">
            <w:pPr>
              <w:jc w:val="center"/>
            </w:pPr>
            <w:r>
              <w:t>≥ 700</w:t>
            </w:r>
          </w:p>
        </w:tc>
        <w:tc>
          <w:tcPr>
            <w:tcW w:w="918" w:type="dxa"/>
          </w:tcPr>
          <w:p w:rsidR="002E3202" w:rsidRDefault="00391FE7">
            <w:pPr>
              <w:jc w:val="center"/>
            </w:pPr>
            <w:r>
              <w:t>≥ 700</w:t>
            </w:r>
          </w:p>
        </w:tc>
        <w:tc>
          <w:tcPr>
            <w:tcW w:w="918" w:type="dxa"/>
          </w:tcPr>
          <w:p w:rsidR="002E3202" w:rsidRDefault="00391FE7">
            <w:pPr>
              <w:jc w:val="center"/>
            </w:pPr>
            <w:r>
              <w:t>≥ 700</w:t>
            </w:r>
          </w:p>
        </w:tc>
      </w:tr>
    </w:tbl>
    <w:p w:rsidR="002E3202" w:rsidRDefault="002E3202">
      <w:pPr>
        <w:jc w:val="left"/>
      </w:pPr>
    </w:p>
    <w:p w:rsidR="002E3202" w:rsidRDefault="00391FE7">
      <w:pPr>
        <w:pStyle w:val="Heading4"/>
      </w:pPr>
      <w:r>
        <w:t>A570340 RAZVOJ ELEKTRONIČKIH KOMUNIKACIJA, INFORMACIJSKOG DRUŠTVA I POŠTANSKIH USLUGA</w:t>
      </w:r>
    </w:p>
    <w:p w:rsidR="002E3202" w:rsidRDefault="00391FE7">
      <w:pPr>
        <w:pStyle w:val="Heading8"/>
        <w:jc w:val="left"/>
      </w:pPr>
      <w:r>
        <w:t>Zakonske i druge pravne osnove</w:t>
      </w:r>
    </w:p>
    <w:p w:rsidR="002E3202" w:rsidRDefault="00391FE7">
      <w:r>
        <w:t xml:space="preserve">- Uredba o potvrđivanju (ratifikaciji) Statuta i Konvencije Međunarodne udruge za telekomunikacije potpisanih u Ženevi, 22. prosinca 1992. godine, članak 28. Statuta, članak 33. Konvencije </w:t>
      </w:r>
    </w:p>
    <w:p w:rsidR="002E3202" w:rsidRDefault="00391FE7">
      <w:r>
        <w:t xml:space="preserve">- Zakon o potvrđivanju Instrumenta kojim se mijenja i dopunjuje Konvencija o uspostavljanju Europskog ureda za radiokomunikacije (ERO), članak 12. Konvencije </w:t>
      </w:r>
    </w:p>
    <w:p w:rsidR="002E3202" w:rsidRDefault="00391FE7">
      <w:r>
        <w:t xml:space="preserve">- Zakon o elektroničkim komunikacijama, članak 6. stavak 3. </w:t>
      </w:r>
    </w:p>
    <w:p w:rsidR="002E3202" w:rsidRDefault="00391FE7">
      <w:r>
        <w:t xml:space="preserve">- Zakon o potvrđivanju Općih pravila Svjetske poštanske unije, članak 150., stavci 1., 2. i 3. i članak 151. </w:t>
      </w:r>
    </w:p>
    <w:p w:rsidR="002E3202" w:rsidRDefault="00391FE7">
      <w:r>
        <w:t>- Zakon o potvrđivanju Prvog dodatnog protokola uz Opća pravila Svjetske poštanske unije, članak XIII.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A570340</w:t>
            </w:r>
          </w:p>
        </w:tc>
        <w:tc>
          <w:tcPr>
            <w:tcW w:w="1632" w:type="dxa"/>
            <w:vAlign w:val="top"/>
          </w:tcPr>
          <w:p w:rsidR="002E3202" w:rsidRDefault="00391FE7">
            <w:pPr>
              <w:jc w:val="right"/>
            </w:pPr>
            <w:r>
              <w:t>157.835</w:t>
            </w:r>
          </w:p>
        </w:tc>
        <w:tc>
          <w:tcPr>
            <w:tcW w:w="1632" w:type="dxa"/>
            <w:vAlign w:val="top"/>
          </w:tcPr>
          <w:p w:rsidR="002E3202" w:rsidRDefault="00391FE7">
            <w:pPr>
              <w:jc w:val="right"/>
            </w:pPr>
            <w:r>
              <w:t>178.899</w:t>
            </w:r>
          </w:p>
        </w:tc>
        <w:tc>
          <w:tcPr>
            <w:tcW w:w="1632" w:type="dxa"/>
            <w:vAlign w:val="top"/>
          </w:tcPr>
          <w:p w:rsidR="002E3202" w:rsidRDefault="00391FE7">
            <w:pPr>
              <w:jc w:val="right"/>
            </w:pPr>
            <w:r>
              <w:t>192.250</w:t>
            </w:r>
          </w:p>
        </w:tc>
        <w:tc>
          <w:tcPr>
            <w:tcW w:w="1632" w:type="dxa"/>
            <w:vAlign w:val="top"/>
          </w:tcPr>
          <w:p w:rsidR="002E3202" w:rsidRDefault="00391FE7">
            <w:pPr>
              <w:jc w:val="right"/>
            </w:pPr>
            <w:r>
              <w:t>192.250</w:t>
            </w:r>
          </w:p>
        </w:tc>
        <w:tc>
          <w:tcPr>
            <w:tcW w:w="1632" w:type="dxa"/>
            <w:vAlign w:val="top"/>
          </w:tcPr>
          <w:p w:rsidR="002E3202" w:rsidRDefault="00391FE7">
            <w:pPr>
              <w:jc w:val="right"/>
            </w:pPr>
            <w:r>
              <w:t>192.250</w:t>
            </w:r>
          </w:p>
        </w:tc>
        <w:tc>
          <w:tcPr>
            <w:tcW w:w="510" w:type="dxa"/>
            <w:vAlign w:val="top"/>
          </w:tcPr>
          <w:p w:rsidR="002E3202" w:rsidRDefault="00391FE7">
            <w:pPr>
              <w:jc w:val="right"/>
            </w:pPr>
            <w:r>
              <w:t>107,5</w:t>
            </w:r>
          </w:p>
        </w:tc>
      </w:tr>
    </w:tbl>
    <w:p w:rsidR="002E3202" w:rsidRDefault="002E3202">
      <w:pPr>
        <w:jc w:val="left"/>
      </w:pPr>
    </w:p>
    <w:p w:rsidR="002E3202" w:rsidRDefault="00391FE7">
      <w:r>
        <w:t xml:space="preserve">Ova aktivnost provodi se svake godine.  </w:t>
      </w:r>
    </w:p>
    <w:p w:rsidR="002E3202" w:rsidRDefault="00391FE7">
      <w:r>
        <w:t xml:space="preserve">U razdoblju 2024. – 2026. očekuje se ostvarenje sljedećeg: plaćanje obveza za članarine i norme (i druge propisane godišnje doprinose) u europskim i međunarodnim organizacijama i institucijama iz područja elektroničkih komunikacija, informacijskog društva, radijske opreme i elektromagnetske kompatibilnosti (Međunarodna telekomunikacijska unija – ITU i druga specijalizirana UN-ova tijela, Europska konferencija poštanskih i telekomunikacijskih uprava – CEPT, Odbor za elektroničke komunikacije – ECC, Europski institut za telekomunikacijske norme – ETSI, međunarodne organizacije za satelitske radijske komunikacije i dr.), te za članarine (i druge propisane godišnje doprinose) u europskim i međunarodnim poštanskim organizacijama i institucijama (Svjetska poštanska unija – UPU, Europska konferencija poštanskih i telekomunikacijskih uprava – CEPT, Europski odbor za poštansku regulaciju – CERP i dr.), kojih je Republika Hrvatska punopravni član, u ukupnom iznosu od 177.000 eura. Najvažnije zadaće ITU-a su namjena radiofrekvencijskog spektra i satelitskih orbita na globalnoj razini, normizacija u području komunikacijskih mreža i tehnologija te sveukupni razvoj ICT-a u svijetu. Republika Hrvatska, kao članica ETSI-ja, ostvaruje uvid u sve telekomunikacijske norme te ima pravo sudjelovati u pripremi i razvoju tih norma. Zadaća UPU-a je savjetovanje, posredovanje i povezivanje svih sudionika poštanskog sektora na globalnoj razini te pružanje tehničke pomoći, kao i utvrđivanje pravila za međunarodnu razmjenu poštanskih pošiljaka, poticanje razvoja poštanskog prometa i poboljšanje kakvoće poštanskih usluga. Također, sredstva s ove aktivnosti planirana su za intelektualne i osobne usluge (5.950,00 eura), te za tekuće donacije u novcu (9.300 eura), od kojih 5.300 eur za suorganizaciju 47. Međunarodnog znanstveno-stručnog i tehnološkog skupa MIPRO 2024., koji je najveći skup u Republici Hrvatskoj u području informacijskih i komunikacijskih tehnologija, elektronike i mikroelektronike, i 4.000 eur za suorganizaciju i pokroviteljstvo 66. Međunarodnog simpozija "Elektronika u pomorstvu – ELMAR 2024.", znanstvene konferencije u području multimedijskih komunikacija, obrade slike i video signala, navigacijskih sustava, obrade govora i zvuka, telekomunikacija, radijskih komunikacija te elektronike u pomorstvu.  </w:t>
      </w:r>
    </w:p>
    <w:p w:rsidR="002E3202" w:rsidRDefault="00391FE7">
      <w:r>
        <w:t xml:space="preserve">Izračun financijskog plana: </w:t>
      </w:r>
    </w:p>
    <w:p w:rsidR="002E3202" w:rsidRDefault="00391FE7">
      <w:r>
        <w:t xml:space="preserve">1. Intelektualne i osobne usluge:  </w:t>
      </w:r>
    </w:p>
    <w:p w:rsidR="002E3202" w:rsidRDefault="00391FE7">
      <w:r>
        <w:t xml:space="preserve">Procjena mogućeg potrebnog iznosa za 2024. godinu = 5.950 eur </w:t>
      </w:r>
    </w:p>
    <w:p w:rsidR="002E3202" w:rsidRDefault="00391FE7">
      <w:r>
        <w:t xml:space="preserve">Procjena mogućeg potrebnog iznosa za 2025. godinu = 5.950 eur </w:t>
      </w:r>
    </w:p>
    <w:p w:rsidR="002E3202" w:rsidRDefault="00391FE7">
      <w:r>
        <w:t xml:space="preserve">Procjena mogućeg potrebnog iznosa za 2026. godinu = 5.950 eur </w:t>
      </w:r>
    </w:p>
    <w:p w:rsidR="002E3202" w:rsidRDefault="00391FE7">
      <w:r>
        <w:t xml:space="preserve">Procjena mogućeg potrebnog iznosa utvrđena je na temelju potreba u prethodnim razdobljima kada je bilo potrebno sklopiti ugovor o djelu za usluge vanjskih suradnika koje je uključivalo poslove vezane za razne strategije, akcijske planove i sl., kao i za ovjerene prijevode za potrebe potvrđivanja akata Svjetske poštanske unije. </w:t>
      </w:r>
    </w:p>
    <w:p w:rsidR="002E3202" w:rsidRDefault="00391FE7">
      <w:r>
        <w:t xml:space="preserve">2. Plaćanje članarina i normi: </w:t>
      </w:r>
    </w:p>
    <w:p w:rsidR="002E3202" w:rsidRDefault="00391FE7">
      <w:r>
        <w:t xml:space="preserve">Očekivani iznosi članarina za razdoblje od 2024. do 2026.: </w:t>
      </w:r>
    </w:p>
    <w:p w:rsidR="002E3202" w:rsidRDefault="00391FE7">
      <w:r>
        <w:t xml:space="preserve">- ITU – Međunarodna telekomunikacijska unija (International Telecommunication Union) – iznos godišnje članarine: protuvrijednost 79.500,00 CHF. </w:t>
      </w:r>
    </w:p>
    <w:p w:rsidR="002E3202" w:rsidRDefault="00391FE7">
      <w:r>
        <w:t xml:space="preserve">- ECO – Europski komunikacijski ured (European Communications Office) – iznos godišnje članarine: protuvrijednost 64.466,00 DKK; CEPT – Europska konferencija poštanskih i telekomunikacijskih uprava (The European Conference of Postal and Telecommunications Administrations - CEPT) – ECO podrška CEPT predsjedništvu – iznos doprinosa predsjedništvu CEPT-a: 968,00 DKK. </w:t>
      </w:r>
    </w:p>
    <w:p w:rsidR="002E3202" w:rsidRDefault="00391FE7">
      <w:r>
        <w:t xml:space="preserve">- ETSI – Europski institut za telekomunikacijske norme (European Telecommunications Standards Institute) – iznos godišnje članarine: protuvrijednost 33.040,00 EUR (najavljeno je moguće povećanje iznosa godišnje članarine za oko 3% u 2024. godini). </w:t>
      </w:r>
    </w:p>
    <w:p w:rsidR="002E3202" w:rsidRDefault="00391FE7">
      <w:r>
        <w:t xml:space="preserve">- UPU – Svjetska poštanska unija (Universal Postal Union) – iznos godišnje članarine: protuvrijednost 43.500,00 CHF (najavljeno je povećanje iznosa godišnje članarine za oko 1,6% u 2024. godini); godišnji doprinos za troškove prijevoda: protuvrijednost 1.600,00 CHF; te mogući dodatni troškovi prijevoda.    </w:t>
      </w:r>
    </w:p>
    <w:p w:rsidR="002E3202" w:rsidRDefault="00391FE7">
      <w:r>
        <w:t xml:space="preserve">Procjena potrebnog iznosa utvrđena je na temelju iznosa obveza za članarine i norme (i druge propisane godišnje doprinose) određenih propisima navedenih europskih i međunarodnih organizacija i institucija. </w:t>
      </w:r>
    </w:p>
    <w:p w:rsidR="002E3202" w:rsidRDefault="00391FE7">
      <w:r>
        <w:t xml:space="preserve">3. Tekuće donacije u novcu:  </w:t>
      </w:r>
    </w:p>
    <w:p w:rsidR="002E3202" w:rsidRDefault="00391FE7">
      <w:r>
        <w:t xml:space="preserve">Očekivana suorganizacija 47. Međunarodnog znanstveno-stručnog i tehnološkog skupa MIPRO 2024. = 5.300 eur  </w:t>
      </w:r>
    </w:p>
    <w:p w:rsidR="002E3202" w:rsidRDefault="00391FE7">
      <w:r>
        <w:t xml:space="preserve">Očekivana suorganizacija i pokroviteljstvo 66. Međunarodnog simpozija "Elektronika u pomorstvu – ELMAR 2024." = 4.000 eur  </w:t>
      </w:r>
    </w:p>
    <w:p w:rsidR="002E3202" w:rsidRDefault="00391FE7">
      <w:r>
        <w:t xml:space="preserve">Očekivana suorganizacija 48. Međunarodnog znanstveno-stručnog i tehnološkog skupa MIPRO 2025. = 5.300 eur  </w:t>
      </w:r>
    </w:p>
    <w:p w:rsidR="002E3202" w:rsidRDefault="00391FE7">
      <w:r>
        <w:t xml:space="preserve">Očekivana suorganizacija i pokroviteljstvo 67. Međunarodnog simpozija "Elektronika u pomorstvu – ELMAR 2025." = 4.000 eur  </w:t>
      </w:r>
    </w:p>
    <w:p w:rsidR="002E3202" w:rsidRDefault="00391FE7">
      <w:r>
        <w:t xml:space="preserve">Očekivana suorganizacija 49. Međunarodnog znanstveno-stručnog i tehnološkog skupa MIPRO 2026. = 5.300 eur  </w:t>
      </w:r>
    </w:p>
    <w:p w:rsidR="002E3202" w:rsidRDefault="00391FE7">
      <w:r>
        <w:t xml:space="preserve">Očekivana suorganizacija i pokroviteljstvo 68. Međunarodnog simpozija "Elektronika u pomorstvu – ELMAR 2026." = 4.000 eur  </w:t>
      </w:r>
    </w:p>
    <w:p w:rsidR="002E3202" w:rsidRDefault="00391FE7">
      <w:r>
        <w:t>Očekivana suorganizacija i pokroviteljstvo procijenjena je na temelju dosadašnjih godina, a iznos naknade procijenjen je na temelju dosadašnjih sklopljenih ugovora.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Plaćene obveze za članarine i norme (i druge propisane godišnje doprinose) u europskim i međunarodnim organizacijama i institucijama</w:t>
            </w:r>
          </w:p>
        </w:tc>
        <w:tc>
          <w:tcPr>
            <w:tcW w:w="2245" w:type="dxa"/>
            <w:vAlign w:val="top"/>
          </w:tcPr>
          <w:p w:rsidR="002E3202" w:rsidRDefault="00391FE7">
            <w:pPr>
              <w:pStyle w:val="CellColumn"/>
              <w:jc w:val="left"/>
            </w:pPr>
            <w:r>
              <w:rPr>
                <w:rFonts w:cs="Times New Roman"/>
              </w:rPr>
              <w:t>Za članstvo u europskim i međunarodnim organizacijama nadležnima za elektroničke komunikacije i poštanske usluge RH plaća propisane iznose obveza za članarine i norme (i druge propisane godišnje doprinose)</w:t>
            </w:r>
          </w:p>
        </w:tc>
        <w:tc>
          <w:tcPr>
            <w:tcW w:w="918" w:type="dxa"/>
          </w:tcPr>
          <w:p w:rsidR="002E3202" w:rsidRDefault="00391FE7">
            <w:pPr>
              <w:jc w:val="center"/>
            </w:pPr>
            <w:r>
              <w:t>%</w:t>
            </w:r>
          </w:p>
        </w:tc>
        <w:tc>
          <w:tcPr>
            <w:tcW w:w="918" w:type="dxa"/>
          </w:tcPr>
          <w:p w:rsidR="002E3202" w:rsidRDefault="00391FE7">
            <w:pPr>
              <w:jc w:val="center"/>
            </w:pPr>
            <w:r>
              <w:t>100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391FE7">
            <w:pPr>
              <w:jc w:val="center"/>
            </w:pPr>
            <w:r>
              <w:t>100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A754032 NAKNADA KOJA SE DODJELJUJE PODUZETNICIMA KOJIMA JE POVJERENO OBAVLJANJE UNIVERZALNE POŠTANSKE USLUGE</w:t>
      </w:r>
    </w:p>
    <w:p w:rsidR="002E3202" w:rsidRDefault="00391FE7">
      <w:pPr>
        <w:pStyle w:val="Heading8"/>
        <w:jc w:val="left"/>
      </w:pPr>
      <w:r>
        <w:t>Zakonske i druge pravne osnove</w:t>
      </w:r>
    </w:p>
    <w:p w:rsidR="002E3202" w:rsidRDefault="00391FE7">
      <w:r>
        <w:t xml:space="preserve">- Zakon o poštanskim uslugama, članak 67. stavak 2., članak 48. stavak 5. </w:t>
      </w:r>
    </w:p>
    <w:p w:rsidR="002E3202" w:rsidRDefault="00391FE7">
      <w:r>
        <w:t xml:space="preserve">- Pravilnik o obavljanju univerzalne usluge (Hrvatska regulatorna agencija za mrežne djelatnosti)  </w:t>
      </w:r>
    </w:p>
    <w:p w:rsidR="002E3202" w:rsidRDefault="00391FE7">
      <w:r>
        <w:t xml:space="preserve">- Naputak o izračunu i naknadi neto troška univerzalne usluge i procjene nepravednog financijskog opterećenja od 31. kolovoza 2015. (Hrvatska regulatorna agencija za mrežne djelatnosti)  </w:t>
      </w:r>
    </w:p>
    <w:p w:rsidR="002E3202" w:rsidRDefault="00391FE7">
      <w:r>
        <w:t xml:space="preserve">- Odluka Vijeća Hrvatske regulatorne agencije za mrežne djelatnosti  </w:t>
      </w:r>
    </w:p>
    <w:p w:rsidR="002E3202" w:rsidRDefault="00391FE7">
      <w:r>
        <w:t xml:space="preserve">- Zakon o državnim potporama  </w:t>
      </w:r>
    </w:p>
    <w:p w:rsidR="002E3202" w:rsidRDefault="00391FE7">
      <w:r>
        <w:t>- Odluka o donošenju Smjernica politike državnih potpora za razdoblje 2022.-2024.</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A754032</w:t>
            </w:r>
          </w:p>
        </w:tc>
        <w:tc>
          <w:tcPr>
            <w:tcW w:w="1632" w:type="dxa"/>
            <w:vAlign w:val="top"/>
          </w:tcPr>
          <w:p w:rsidR="002E3202" w:rsidRDefault="00391FE7">
            <w:pPr>
              <w:jc w:val="right"/>
            </w:pPr>
            <w:r>
              <w:t>13.229.890</w:t>
            </w:r>
          </w:p>
        </w:tc>
        <w:tc>
          <w:tcPr>
            <w:tcW w:w="1632" w:type="dxa"/>
            <w:vAlign w:val="top"/>
          </w:tcPr>
          <w:p w:rsidR="002E3202" w:rsidRDefault="00391FE7">
            <w:pPr>
              <w:jc w:val="right"/>
            </w:pPr>
            <w:r>
              <w:t>14.201.341</w:t>
            </w:r>
          </w:p>
        </w:tc>
        <w:tc>
          <w:tcPr>
            <w:tcW w:w="1632" w:type="dxa"/>
            <w:vAlign w:val="top"/>
          </w:tcPr>
          <w:p w:rsidR="002E3202" w:rsidRDefault="00391FE7">
            <w:pPr>
              <w:jc w:val="right"/>
            </w:pPr>
            <w:r>
              <w:t>24.937.500</w:t>
            </w:r>
          </w:p>
        </w:tc>
        <w:tc>
          <w:tcPr>
            <w:tcW w:w="1632" w:type="dxa"/>
            <w:vAlign w:val="top"/>
          </w:tcPr>
          <w:p w:rsidR="002E3202" w:rsidRDefault="00391FE7">
            <w:pPr>
              <w:jc w:val="right"/>
            </w:pPr>
            <w:r>
              <w:t>14.250.000</w:t>
            </w:r>
          </w:p>
        </w:tc>
        <w:tc>
          <w:tcPr>
            <w:tcW w:w="1632" w:type="dxa"/>
            <w:vAlign w:val="top"/>
          </w:tcPr>
          <w:p w:rsidR="002E3202" w:rsidRDefault="00391FE7">
            <w:pPr>
              <w:jc w:val="right"/>
            </w:pPr>
            <w:r>
              <w:t>14.250.000</w:t>
            </w:r>
          </w:p>
        </w:tc>
        <w:tc>
          <w:tcPr>
            <w:tcW w:w="510" w:type="dxa"/>
            <w:vAlign w:val="top"/>
          </w:tcPr>
          <w:p w:rsidR="002E3202" w:rsidRDefault="00391FE7">
            <w:pPr>
              <w:jc w:val="right"/>
            </w:pPr>
            <w:r>
              <w:t>175,6</w:t>
            </w:r>
          </w:p>
        </w:tc>
      </w:tr>
    </w:tbl>
    <w:p w:rsidR="002E3202" w:rsidRDefault="002E3202">
      <w:pPr>
        <w:jc w:val="left"/>
      </w:pPr>
    </w:p>
    <w:p w:rsidR="002E3202" w:rsidRDefault="00391FE7">
      <w:r>
        <w:t xml:space="preserve">Provedba ove aktivnosti započela je 2014. godine.  </w:t>
      </w:r>
    </w:p>
    <w:p w:rsidR="002E3202" w:rsidRDefault="00391FE7">
      <w:r>
        <w:t xml:space="preserve">U razdoblju 2024. – 2026. očekuje se ostvarenje sljedećeg: Ministarstvo mora, prometa i infrastrukture (u daljnjem tekstu: Ministarstvo) bilo je davatelj državne potpore prema Programu državne potpore HP-Hrvatskoj pošti d.d. u obliku naknade za obavljanje univerzalne usluge od 2014. do 2018. godine (u daljnjem tekstu: Program), u skladu s mišljenjem Ministarstva financija, KLASA: 302-01/14-01/106, URBROJ: 513-06-2-14-6, od 22. prosinca 2014. </w:t>
      </w:r>
    </w:p>
    <w:p w:rsidR="002E3202" w:rsidRDefault="00391FE7">
      <w:r>
        <w:t xml:space="preserve">Cilj navedenog programa državne potpore je ispunjenje obveze obavljanja usluge od općeg gospodarskog interesa - univerzalne usluge, za sve korisnike poštanskih usluga, pod jednakim uvjetima, na cijelom području Republike Hrvatske. </w:t>
      </w:r>
    </w:p>
    <w:p w:rsidR="002E3202" w:rsidRDefault="00391FE7">
      <w:r>
        <w:t xml:space="preserve">Budući da je Program donesen za razdoblje od 2014. do 2018. godine (s tim da je zadnja isplata bila u 2019. godini za nepravedno financijsko opterećenje u 2018. godini), te imajući u vidu da je HP-Hrvatska pošta d.d. u skladu s člankom 67. Zakona o poštanskim uslugama (NN 144/12., 153/13., 78/15. i 110/19.) imenovana davateljem univerzalne usluge u Republici Hrvatskoj do kraja 2027. godine, te ima zakonsko pravo i obvezu obavljati univerzalnu uslugu, Ministarstvo je dostavilo, kao svojevrsni nastavak dosadašnjeg Programa, Prijedlog Pojedinačne državne potpore HP-Hrvatskoj pošti d.d. (u daljnjem tekstu: HP) u obliku naknade za obavljanje univerzalne usluge za razdoblje od 2019. do 2023. godine (u daljnjem tekstu: Prijedlog Pojedinačne potpore) Ministarstvu financija na mišljenje o usklađenosti s pravilima o državnim potporama i smjernicama politike državnih potpora Republike Hrvatske. Ministarstvo financija je na Prijedlog Pojedinačne potpore dalo mišljenje 25. siječnja 2019. godine (KLASA: 421-02/18-01/1, URBROJ: 513-06-02-19-3). </w:t>
      </w:r>
    </w:p>
    <w:p w:rsidR="002E3202" w:rsidRDefault="00391FE7">
      <w:r>
        <w:t xml:space="preserve">Budući da je HP prema Zakonu o poštanskim uslugama imenovan davateljem univerzalne usluge u Republici Hrvatskoj do kraja 2027. godine, planira se nastavak pojedinačne potpore i za razdoblje od 2024. do 2027. godine. </w:t>
      </w:r>
    </w:p>
    <w:p w:rsidR="002E3202" w:rsidRDefault="00391FE7">
      <w:r>
        <w:t xml:space="preserve">Sukladno trenutnom modelu isplate neto troška, isti se isplaćuje na temelju odluke HAKOM-a za prethodnu godinu nakon zaprimanja revizijskog izvješća. Realni efekt primjene propisanog modela za ishod ima okolnost da HP-a navedeni neto trošak faktički dobiva tek na kraju tekuće godine za prethodnu godinu, odnosno skoro 2 godine nakon što je isti trošak nastao. Navedeno predstavlja značajan trošak za HP koji im se prekasno nadoknađuje što ima negativan utjecaj na njihovo poslovanje. </w:t>
      </w:r>
    </w:p>
    <w:p w:rsidR="002E3202" w:rsidRDefault="00391FE7">
      <w:r>
        <w:t xml:space="preserve">Iz navedenog razloga potrebno je promijeniti model isplate neto troška na način da se HP-u isti naknađuje u tekućoj godini za tu godinu u obliku kvartalnih isplata. Navedeni model bi bio u primjeni počevši od 2024 godine. </w:t>
      </w:r>
    </w:p>
    <w:p w:rsidR="002E3202" w:rsidRDefault="00391FE7">
      <w:r>
        <w:t xml:space="preserve">U tu svrhu potrebno je u državnom proračunu za 2024. godinu planirati sredstva na način da se predvide sredstva za isplatu HP-u neto troška za 2023. godini (po starom modelu), ali i sredstva za isplatu neto troška za 2024. godinu (po novom modelu). </w:t>
      </w:r>
    </w:p>
    <w:p w:rsidR="002E3202" w:rsidRDefault="00391FE7">
      <w:r>
        <w:t xml:space="preserve">Ministarstvo mora, prometa i infrastrukture trenutno priprema Prijedlog nove pojedinačne državne potpore HP-Hrvatskoj pošti d.d. u obliku naknade za obavljanje univerzalne poštanske usluge za razdoblje od 2024. do 2027. godine (u daljnjem tekstu: Prijedlog nove pojedinačne potpore), obzirom da aktualna Pojedinačna državna potpora HP-Hrvatskoj pošti d.d. koja se odnosi na razdoblje od 2019. do 2023. godine (u daljnjem tekstu: aktualna Potpora), uskoro istječe. </w:t>
      </w:r>
    </w:p>
    <w:p w:rsidR="002E3202" w:rsidRDefault="00391FE7">
      <w:r>
        <w:t xml:space="preserve">U tu svrhu, Ministarstvo razmatra uvođenje novog modela isplate naknade za obavljanje univerzalne poštanske usluge obzirom da je tijekom primjene aktualne Potpore uočilo postojanje značajnog vremenskog odmaka od trenutka nastanka troška koji se temeljem aktualne Potpore ima nadoknaditi HP d.d.-u, do trenutka njegove stvarne isplate. Naime, u praksi HP d.d. cijelu kalendarsku godinu pruža univerzalnu uslugu, dok mu se neto trošak nastao zbog obavljanja te usluge isplaćuje tek krajem iduće kalendarske godine. </w:t>
      </w:r>
    </w:p>
    <w:p w:rsidR="002E3202" w:rsidRDefault="00391FE7">
      <w:r>
        <w:t xml:space="preserve">Slijedom navedenog, a obzirom da je HP d.d. društvo koje se financira prodajom roba i usluga na otvorenom tržištu (osim univerzalne usluge o kojoj je ovdje riječ) i u tom smislu, djeluje na tržištu koje je visoko konkurentno (osobito u segmentu paketskog poslovanja), HP d.d. obavljanje univerzalne poštanske usluge na koju je obvezan od strane države, financira iz vlastitih sredstava tijekom cijele godine što mu u trenutnim tržišnim okolnostima (inflacija, posljedice COVID-19), otežava planiranje i usmjeravanje vlastitih financijskih sredstava ka nužnim investicijama u ostalim segmentima poslovanja, što je ključna pretpostavka za daljnji rast i razvoj HP d.d.-a.  </w:t>
      </w:r>
    </w:p>
    <w:p w:rsidR="002E3202" w:rsidRDefault="00391FE7">
      <w:r>
        <w:t xml:space="preserve">Ministarstvo mora, prometa i infrastrukture, stoga, razmatra nove mehanizme i dinamiku isplate na način da bi se naknada za obavljanje univerzalne usluge temeljem Prijedloga nove pojedinačne potpore isplaćivala u godini u kojoj je trošak obavljanja iste i nastao; točnije protekom svakog kvartala u kojem je usluga pružena. Tako bi se u jednoj kalendarskoj godini imala isplatiti tri odrađena kvartala, dok bi završni kvartal bio podmiren iduće kalendarske godine. </w:t>
      </w:r>
    </w:p>
    <w:p w:rsidR="002E3202" w:rsidRDefault="00391FE7">
      <w:r>
        <w:t xml:space="preserve">Slijedom navedenog, prije daljnjeg rada na izradi Prijedloga nove pojedinačne potpore, planiran je adekvatan iznos proračunskih sredstava za njegovu provedbu.  </w:t>
      </w:r>
    </w:p>
    <w:p w:rsidR="002E3202" w:rsidRDefault="00391FE7">
      <w:r>
        <w:t xml:space="preserve">U tu svrhu, treba uzeti u obzir da bi se u 2024. godini, trebala isplatiti: </w:t>
      </w:r>
    </w:p>
    <w:p w:rsidR="002E3202" w:rsidRDefault="00391FE7">
      <w:r>
        <w:t xml:space="preserve">1) naknada neto troška nastalog u 2023. godini temeljem aktualne Potpore i  </w:t>
      </w:r>
    </w:p>
    <w:p w:rsidR="002E3202" w:rsidRDefault="00391FE7">
      <w:r>
        <w:t xml:space="preserve">2) tri kvartalne isplate naknade neto troška za 2024. godinu po osnovi Prijedloga nove Pojedinačne potpore, sve kako je naprijed već pojašnjeno.  </w:t>
      </w:r>
    </w:p>
    <w:p w:rsidR="002E3202" w:rsidRDefault="00391FE7">
      <w:r>
        <w:t xml:space="preserve">Dakle, zbog preklapanja primjene aktualne Potpore i Prijedloga nove Pojedinačne potpore u 2024. godini, planirano je ukupno 24.937.500,00 EUR za 2024. godinu na aktivnosti A754032, kontu 3512, radi isplate naknade za 2023. po osnovi aktualne Potpore i isplate kvartalnih naknada za 2024. godine po osnovi Prijedloga nove pojedinačne potpore. </w:t>
      </w:r>
    </w:p>
    <w:p w:rsidR="002E3202" w:rsidRDefault="00391FE7">
      <w:r>
        <w:t xml:space="preserve">Napominje se također kako su sredstva za isplatu naknade neto troška za svaku narednu godinu provedbe Prijedloga nove Pojedinačne potpore, već adekvatno planirana u skladu s Prijedlogom financijskog plana za 2024.-2026., odnosno unutar projekcija za 2025. i 2026. (po 14.250.000,00 EUR). </w:t>
      </w:r>
    </w:p>
    <w:p w:rsidR="002E3202" w:rsidRDefault="00391FE7">
      <w:r>
        <w:t xml:space="preserve">Izračun financijskog plana:  </w:t>
      </w:r>
    </w:p>
    <w:p w:rsidR="002E3202" w:rsidRDefault="00391FE7">
      <w:r>
        <w:t xml:space="preserve">Procjena potrebnog iznosa za 2024. godinu = 24.937.500 eur </w:t>
      </w:r>
    </w:p>
    <w:p w:rsidR="002E3202" w:rsidRDefault="00391FE7">
      <w:r>
        <w:t xml:space="preserve">Procjena potrebnog iznosa za 2025. godinu = 14.250.000 eur </w:t>
      </w:r>
    </w:p>
    <w:p w:rsidR="002E3202" w:rsidRDefault="00391FE7">
      <w:r>
        <w:t xml:space="preserve">Procjena potrebnog iznosa za 2026. godinu = 14.250.000 eur </w:t>
      </w:r>
    </w:p>
    <w:p w:rsidR="002E3202" w:rsidRDefault="00391FE7">
      <w:r>
        <w:t>Procjena potrebnog iznosa za naknadu za obavljanje univerzalne usluge procijenjena je na temelju dosadašnjih godina u skladu s aktualnom Potporom, te uzimajući u obzir procjene za buduće razdoblje u skladu s Prijedlogom nove Pojedinačne potpore.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68"/>
        <w:gridCol w:w="2268"/>
        <w:gridCol w:w="927"/>
        <w:gridCol w:w="927"/>
        <w:gridCol w:w="1035"/>
        <w:gridCol w:w="927"/>
        <w:gridCol w:w="927"/>
        <w:gridCol w:w="92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isplaćene naknade koja se dodjeljuje poduzetnicima kojima je povjereno obavljanje univerzalne poštanske usluge slijedom odluke Hrvatske regulatorne agencije za mrežne djelatnosti</w:t>
            </w:r>
          </w:p>
        </w:tc>
        <w:tc>
          <w:tcPr>
            <w:tcW w:w="2245" w:type="dxa"/>
            <w:vAlign w:val="top"/>
          </w:tcPr>
          <w:p w:rsidR="002E3202" w:rsidRDefault="00391FE7">
            <w:pPr>
              <w:pStyle w:val="CellColumn"/>
              <w:jc w:val="left"/>
            </w:pPr>
            <w:r>
              <w:rPr>
                <w:rFonts w:cs="Times New Roman"/>
              </w:rPr>
              <w:t>Hrvatska regulatorna agencija za mrežne djelatnosti odlukom utvrđuje iznos neto troška koji predstavlja nepravedno financijsko opterećenje davatelja univerzalne usluge, a koji se isplaćuje iz sredstava državnog proračuna RH, u skladu s pravilima o državnim potporama</w:t>
            </w:r>
          </w:p>
        </w:tc>
        <w:tc>
          <w:tcPr>
            <w:tcW w:w="918" w:type="dxa"/>
          </w:tcPr>
          <w:p w:rsidR="002E3202" w:rsidRDefault="00391FE7">
            <w:pPr>
              <w:jc w:val="center"/>
            </w:pPr>
            <w:r>
              <w:t>%</w:t>
            </w:r>
          </w:p>
        </w:tc>
        <w:tc>
          <w:tcPr>
            <w:tcW w:w="918" w:type="dxa"/>
          </w:tcPr>
          <w:p w:rsidR="002E3202" w:rsidRDefault="00391FE7">
            <w:pPr>
              <w:jc w:val="center"/>
            </w:pPr>
            <w:r>
              <w:t>100</w:t>
            </w:r>
          </w:p>
        </w:tc>
        <w:tc>
          <w:tcPr>
            <w:tcW w:w="918" w:type="dxa"/>
          </w:tcPr>
          <w:p w:rsidR="002E3202" w:rsidRDefault="00391FE7">
            <w:pPr>
              <w:pStyle w:val="CellColumn"/>
              <w:jc w:val="center"/>
            </w:pPr>
            <w:r>
              <w:rPr>
                <w:rFonts w:cs="Times New Roman"/>
              </w:rPr>
              <w:t>Hrvatska regulatorna agencija za mrežne djelatnosti,   MMPI</w:t>
            </w:r>
          </w:p>
        </w:tc>
        <w:tc>
          <w:tcPr>
            <w:tcW w:w="918" w:type="dxa"/>
          </w:tcPr>
          <w:p w:rsidR="002E3202" w:rsidRDefault="00391FE7">
            <w:pPr>
              <w:jc w:val="center"/>
            </w:pPr>
            <w:r>
              <w:t>100</w:t>
            </w:r>
          </w:p>
        </w:tc>
        <w:tc>
          <w:tcPr>
            <w:tcW w:w="918" w:type="dxa"/>
          </w:tcPr>
          <w:p w:rsidR="002E3202" w:rsidRDefault="00391FE7">
            <w:pPr>
              <w:jc w:val="center"/>
            </w:pPr>
            <w:r>
              <w:t>100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A820032 POTICANJE RAZVOJA ŠIROKOPOJASNOG PRISTUPA INTERNETU</w:t>
      </w:r>
    </w:p>
    <w:p w:rsidR="002E3202" w:rsidRDefault="00391FE7">
      <w:pPr>
        <w:pStyle w:val="Heading8"/>
        <w:jc w:val="left"/>
      </w:pPr>
      <w:r>
        <w:t>Zakonske i druge pravne osnove</w:t>
      </w:r>
    </w:p>
    <w:p w:rsidR="002E3202" w:rsidRDefault="00391FE7">
      <w:r>
        <w:t xml:space="preserve">- Zakon o elektroničkim komunikacijama, članci 59. i 60. </w:t>
      </w:r>
    </w:p>
    <w:p w:rsidR="002E3202" w:rsidRDefault="00391FE7">
      <w:r>
        <w:t xml:space="preserve">- Zakon o mjerama za smanjenje troškova postavljanja elektroničkih komunikacijskih mreža velikih brzina </w:t>
      </w:r>
    </w:p>
    <w:p w:rsidR="002E3202" w:rsidRDefault="00391FE7">
      <w:r>
        <w:t xml:space="preserve">- Nacionalni plan razvoja širokopojasnog pristupa u Republici Hrvatskoj u razdoblju od 2021. do 2027. godine </w:t>
      </w:r>
    </w:p>
    <w:p w:rsidR="002E3202" w:rsidRDefault="00391FE7">
      <w:r>
        <w:t xml:space="preserve">- Okvirni nacionalni program za razvoj infrastrukture širokopojasnog pristupa u područjima u kojima ne postoji dostatan komercijalni interes za ulaganja </w:t>
      </w:r>
    </w:p>
    <w:p w:rsidR="002E3202" w:rsidRDefault="00391FE7">
      <w:r>
        <w:t>- Nacionalni program razvoja širokopojasne agregacijske infrastrukture u područjima u kojima ne postoji dostatan komercijalni interes za ulaganja, kao preduvjet razvoja pristupnih mreža sljedeće generacije (NGA).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A820032</w:t>
            </w:r>
          </w:p>
        </w:tc>
        <w:tc>
          <w:tcPr>
            <w:tcW w:w="1632" w:type="dxa"/>
            <w:vAlign w:val="top"/>
          </w:tcPr>
          <w:p w:rsidR="002E3202" w:rsidRDefault="00391FE7">
            <w:pPr>
              <w:jc w:val="right"/>
            </w:pPr>
            <w:r>
              <w:t>00</w:t>
            </w:r>
          </w:p>
        </w:tc>
        <w:tc>
          <w:tcPr>
            <w:tcW w:w="1632" w:type="dxa"/>
            <w:vAlign w:val="top"/>
          </w:tcPr>
          <w:p w:rsidR="002E3202" w:rsidRDefault="00391FE7">
            <w:pPr>
              <w:jc w:val="right"/>
            </w:pPr>
            <w:r>
              <w:t>43.501</w:t>
            </w:r>
          </w:p>
        </w:tc>
        <w:tc>
          <w:tcPr>
            <w:tcW w:w="1632" w:type="dxa"/>
            <w:vAlign w:val="top"/>
          </w:tcPr>
          <w:p w:rsidR="002E3202" w:rsidRDefault="00391FE7">
            <w:pPr>
              <w:jc w:val="right"/>
            </w:pPr>
            <w:r>
              <w:t>53.089</w:t>
            </w:r>
          </w:p>
        </w:tc>
        <w:tc>
          <w:tcPr>
            <w:tcW w:w="1632" w:type="dxa"/>
            <w:vAlign w:val="top"/>
          </w:tcPr>
          <w:p w:rsidR="002E3202" w:rsidRDefault="00391FE7">
            <w:pPr>
              <w:jc w:val="right"/>
            </w:pPr>
            <w:r>
              <w:t>50.435</w:t>
            </w:r>
          </w:p>
        </w:tc>
        <w:tc>
          <w:tcPr>
            <w:tcW w:w="1632" w:type="dxa"/>
            <w:vAlign w:val="top"/>
          </w:tcPr>
          <w:p w:rsidR="002E3202" w:rsidRDefault="00391FE7">
            <w:pPr>
              <w:jc w:val="right"/>
            </w:pPr>
            <w:r>
              <w:t>50.435</w:t>
            </w:r>
          </w:p>
        </w:tc>
        <w:tc>
          <w:tcPr>
            <w:tcW w:w="510" w:type="dxa"/>
            <w:vAlign w:val="top"/>
          </w:tcPr>
          <w:p w:rsidR="002E3202" w:rsidRDefault="00391FE7">
            <w:pPr>
              <w:jc w:val="right"/>
            </w:pPr>
            <w:r>
              <w:t>122,0</w:t>
            </w:r>
          </w:p>
        </w:tc>
      </w:tr>
    </w:tbl>
    <w:p w:rsidR="002E3202" w:rsidRDefault="002E3202">
      <w:pPr>
        <w:jc w:val="left"/>
      </w:pPr>
    </w:p>
    <w:p w:rsidR="002E3202" w:rsidRDefault="00391FE7">
      <w:r>
        <w:t xml:space="preserve">Provedba ove aktivnosti započela je 2016. godine. </w:t>
      </w:r>
    </w:p>
    <w:p w:rsidR="002E3202" w:rsidRDefault="00391FE7">
      <w:r>
        <w:t xml:space="preserve">U razdoblju od 2024. do 2026. godine očekuje se ostvarenje sljedećeg: u skladu s Nacionalnom razvojnom strategijom Republike Hrvatske do 2030. godine (NN 13/21.) i razvojnim smjerom 3. Zelena i digitalna tranzicija, strateški cilj 11. Digitalna tranzicija društva i gospodarstva, kao prioritet provedbe politike na području razvoja širokopojasnih elektroničkih komunikacijskih mreža planiran je razvoj i izgradnja širokopojasne infrastrukture i elektroničkih komunikacijskih mreža vrlo velikog kapaciteta koje omogućuju gigabitnu povezivost.  </w:t>
      </w:r>
    </w:p>
    <w:p w:rsidR="002E3202" w:rsidRDefault="00391FE7">
      <w:r>
        <w:t xml:space="preserve">Vlada RH je 11. ožujka 2021. godine donijela Nacionalni plan razvoja širokopojasnog pristupa u Republici Hrvatskoj u razdoblju od 2021. do 2027. godine (NN 26/21.), kao srednjoročni akt strateškog planiranja kojim se podupire provedba strateškog okvira NRS 2030., a ujedno i Strategije digitalne Hrvatske za razdoblje do 2032. godine (NN 2/23.), koja je usvojena 2023. godine. Kroz prioritetno područje 3.2.3. Razvoj širokopojasnih elektroničkih komunikacijskih mreža i Strateški cilj 3: Razvijene, dostupne i korištene mreža vrlo velikih kapaciteta planira se osigurati dostupnost mreža vrlo velikog kapaciteta za kućanstva i objekte javne namjene, znatno unaprijediti dostupnost mreža vrlo velikog kapaciteta u ruralnim područjima i na otocima, povećati pokrivenost naseljenih područja i glavnih prometnih pravaca 5G mrežama, unaprijediti i poticati korištenje usluga širokopojasnog pristupa velikih brzina (od najmanje 100 Mbit/s) te unaprijediti regulatorni okvir povezan s gradnjom i prostornim planiranjem s ciljem da bude poticajan za gradnju mreža vrlo velikog kapaciteta u smislu manjih troškova i jednostavnijih procedura.  </w:t>
      </w:r>
    </w:p>
    <w:p w:rsidR="002E3202" w:rsidRDefault="00391FE7">
      <w:r>
        <w:t xml:space="preserve">Provedba mjera i aktivnosti Nacionalnog plana je u tijeku. </w:t>
      </w:r>
    </w:p>
    <w:p w:rsidR="002E3202" w:rsidRDefault="00391FE7">
      <w:r>
        <w:t xml:space="preserve">Nacionalni plan predstavlja kontinuitet politike Vlade Republike Hrvatske u strateškom planiranju razvoja širokopojasnog pristupa u Republici Hrvatskoj, s ciljem daljnjeg razvoja pozitivnih stečevina razvoja širokopojasnog pristupa zacrtanih strategijama razvoja širokopojasnog pristupa za razdoblja 2006.-2008., 2009.-2012., 2012.-2015., 2016.-2020. i 2021.-2027. </w:t>
      </w:r>
    </w:p>
    <w:p w:rsidR="002E3202" w:rsidRDefault="00391FE7">
      <w:r>
        <w:t xml:space="preserve">Unaprjeđivanje kakvoće i opsega tog razvoja, uz pojačane aktivnosti u uklanjanju uočenih administrativnih prepreka i nedostataka, osobito na razini lokalne i područne (regionalne) samouprave kojoj treba omogućiti i potaknuti je da djelatno sudjeluje u poticanju i razvoju širokopojasnog pristupa, osnovni je cilj Nacionalnog plana, izrađenog u skladu s mjerodavnim zakonodavnim okvirom sustava strateškog planiranja i upravljanja razvojem Republike Hrvatske te razvojnim smjerom Povezana Hrvatska Nacionalne razvojne strategije Republike Hrvatske do 2030. godine. </w:t>
      </w:r>
    </w:p>
    <w:p w:rsidR="002E3202" w:rsidRDefault="00391FE7">
      <w:r>
        <w:t xml:space="preserve">Provedbom Nacionalnog plana do 2027. godine mreže vrlo velikog kapaciteta, odnosno širokopojasni priključci s brzinama od 1 Gbit/s i više, postat će dostupni svim kućanstvima, gospodarskim subjektima i javnim korisnicima na području Republike Hrvatske. Nacionalni plan uklonit će digitalni jaz u dostupnosti širokopojasnog pristupa vrlo velikih brzina i kapaciteta između urbanih i ruralnih područja, te razvijenih i manje razvijenih dijelova države. Do kraja 2027. godine dostupnost širokopojasnog pristupa u Republici Hrvatskoj bit će jednaka prosječnim vrijednostima na razini Europske unije. 5G mrežama bit će pokrivena sva urbana područja i glavni kopneni prometni pravci u državi. </w:t>
      </w:r>
    </w:p>
    <w:p w:rsidR="002E3202" w:rsidRDefault="00391FE7">
      <w:r>
        <w:t xml:space="preserve">Dostupnost mreža vrlo velikog kapaciteta (gigabitna povezivost) i 5G mreža dat će poticaj širokom korištenju i primjeni IKT-a u gospodarstvu i kućanstvima, omogućit će punu digitalizaciju sustava javne uprave te je u konačnici realno za očekivati da će  Republika Hrvatska u narednom razdoblju ostvarivati  brži gospodarski rast. </w:t>
      </w:r>
    </w:p>
    <w:p w:rsidR="002E3202" w:rsidRDefault="00391FE7">
      <w:r>
        <w:t xml:space="preserve">Izračun financijskog plana:   </w:t>
      </w:r>
    </w:p>
    <w:p w:rsidR="002E3202" w:rsidRDefault="00391FE7">
      <w:r>
        <w:t xml:space="preserve">1. Intelektualne i osobne usluge   </w:t>
      </w:r>
    </w:p>
    <w:p w:rsidR="002E3202" w:rsidRDefault="00391FE7">
      <w:r>
        <w:t xml:space="preserve">Procjena mogućeg potrebnog iznosa za 2024. godinu = 42.471 EUR   </w:t>
      </w:r>
    </w:p>
    <w:p w:rsidR="002E3202" w:rsidRDefault="00391FE7">
      <w:r>
        <w:t xml:space="preserve">Procjena mogućeg potrebnog iznosa za 2025. godinu = 39.817 EUR   </w:t>
      </w:r>
    </w:p>
    <w:p w:rsidR="002E3202" w:rsidRDefault="00391FE7">
      <w:r>
        <w:t xml:space="preserve">Procjena mogućeg potrebnog iznosa za 2026. godinu = 39.817 EUR   </w:t>
      </w:r>
    </w:p>
    <w:p w:rsidR="002E3202" w:rsidRDefault="00391FE7">
      <w:r>
        <w:t xml:space="preserve">Procjena mogućeg potrebnog iznosa utvrđena je na temelju potrebe za provedbu postupka vrednovanja Nacionalnog plana razvoja širokopojasnog pristupa u Republici Hrvatskoj u razdoblju od 2021. do 2027. godine.   </w:t>
      </w:r>
    </w:p>
    <w:p w:rsidR="002E3202" w:rsidRDefault="00391FE7">
      <w:r>
        <w:t xml:space="preserve">2. Ostale usluge </w:t>
      </w:r>
    </w:p>
    <w:p w:rsidR="002E3202" w:rsidRDefault="00391FE7">
      <w:r>
        <w:t xml:space="preserve">Procjena mogućeg potrebnog iznosa za 2024. godinu = 6.636 EUR   </w:t>
      </w:r>
    </w:p>
    <w:p w:rsidR="002E3202" w:rsidRDefault="00391FE7">
      <w:r>
        <w:t xml:space="preserve">Procjena mogućeg potrebnog iznosa za 2025. godinu = 6.636 EUR   </w:t>
      </w:r>
    </w:p>
    <w:p w:rsidR="002E3202" w:rsidRDefault="00391FE7">
      <w:r>
        <w:t xml:space="preserve">Procjena mogućeg potrebnog iznosa za 2026. godinu = 6.636 EUR   </w:t>
      </w:r>
    </w:p>
    <w:p w:rsidR="002E3202" w:rsidRDefault="00391FE7">
      <w:r>
        <w:t xml:space="preserve">Procjena mogućeg potrebnog iznosa utvrđena je na temelju potreba za informiranjem javnosti putem skupova i javnih tribina, izradu brošura i drugih tiskanih materijala za sve relevantne društvene skupine o mogućnostima i koristima vezanim uz Nacionalni plan razvoja širokopojasnog pristupa u Republici Hrvatskoj u razdoblju od 2021. do 2027. godine. </w:t>
      </w:r>
    </w:p>
    <w:p w:rsidR="002E3202" w:rsidRDefault="00391FE7">
      <w:r>
        <w:t xml:space="preserve">3. Naknade za rad predstavničkih i izvršnih tijela, povjerenstava i sl. </w:t>
      </w:r>
    </w:p>
    <w:p w:rsidR="002E3202" w:rsidRDefault="00391FE7">
      <w:r>
        <w:t xml:space="preserve">Procjena mogućeg potrebnog iznosa za 2024. godinu = 3.982 EUR   </w:t>
      </w:r>
    </w:p>
    <w:p w:rsidR="002E3202" w:rsidRDefault="00391FE7">
      <w:r>
        <w:t xml:space="preserve">Procjena mogućeg potrebnog iznosa za 2025. godinu = 3.982 EUR   </w:t>
      </w:r>
    </w:p>
    <w:p w:rsidR="002E3202" w:rsidRDefault="00391FE7">
      <w:r>
        <w:t xml:space="preserve">Procjena mogućeg potrebnog iznosa za 2026. godinu = 3.982 EUR   </w:t>
      </w:r>
    </w:p>
    <w:p w:rsidR="002E3202" w:rsidRDefault="00391FE7">
      <w:r>
        <w:t>Procjena mogućeg potrebnog iznosa utvrđena je na temelju potreba za naknadama za rad radnih skupina vezanih uz aktivnosti iz Nacionalnog plana razvoja širokopojasnog pristupa u Republici Hrvatskoj u razdoblju od 2021. do 2027. godine.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68"/>
        <w:gridCol w:w="2268"/>
        <w:gridCol w:w="927"/>
        <w:gridCol w:w="927"/>
        <w:gridCol w:w="1035"/>
        <w:gridCol w:w="927"/>
        <w:gridCol w:w="927"/>
        <w:gridCol w:w="92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održanih skupova i javnih tribina</w:t>
            </w:r>
          </w:p>
        </w:tc>
        <w:tc>
          <w:tcPr>
            <w:tcW w:w="2245" w:type="dxa"/>
            <w:vAlign w:val="top"/>
          </w:tcPr>
          <w:p w:rsidR="002E3202" w:rsidRDefault="00391FE7">
            <w:pPr>
              <w:pStyle w:val="CellColumn"/>
              <w:jc w:val="left"/>
            </w:pPr>
            <w:r>
              <w:rPr>
                <w:rFonts w:cs="Times New Roman"/>
              </w:rPr>
              <w:t>Informiranje jedinica lokalne i područne (regionalne) samouprave o ključnim odredbama prostornih planova vezanim uz postavljanje elektroničkih komunikacijskih mreža</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Hrvatska regulatorna agencija za mrežne djelatnosti</w:t>
            </w:r>
          </w:p>
        </w:tc>
        <w:tc>
          <w:tcPr>
            <w:tcW w:w="918" w:type="dxa"/>
          </w:tcPr>
          <w:p w:rsidR="002E3202" w:rsidRDefault="00391FE7">
            <w:pPr>
              <w:jc w:val="center"/>
            </w:pPr>
            <w:r>
              <w:t>1</w:t>
            </w:r>
          </w:p>
        </w:tc>
        <w:tc>
          <w:tcPr>
            <w:tcW w:w="918" w:type="dxa"/>
          </w:tcPr>
          <w:p w:rsidR="002E3202" w:rsidRDefault="00391FE7">
            <w:pPr>
              <w:jc w:val="center"/>
            </w:pPr>
            <w:r>
              <w:t>1</w:t>
            </w:r>
          </w:p>
        </w:tc>
        <w:tc>
          <w:tcPr>
            <w:tcW w:w="918" w:type="dxa"/>
          </w:tcPr>
          <w:p w:rsidR="002E3202" w:rsidRDefault="00391FE7">
            <w:pPr>
              <w:jc w:val="center"/>
            </w:pPr>
            <w:r>
              <w:t>1</w:t>
            </w:r>
          </w:p>
        </w:tc>
      </w:tr>
      <w:tr w:rsidR="002E3202">
        <w:trPr>
          <w:jc w:val="center"/>
        </w:trPr>
        <w:tc>
          <w:tcPr>
            <w:tcW w:w="2245" w:type="dxa"/>
            <w:vAlign w:val="top"/>
          </w:tcPr>
          <w:p w:rsidR="002E3202" w:rsidRDefault="00391FE7">
            <w:pPr>
              <w:pStyle w:val="CellColumn"/>
              <w:jc w:val="left"/>
            </w:pPr>
            <w:r>
              <w:rPr>
                <w:rFonts w:cs="Times New Roman"/>
              </w:rPr>
              <w:t>Broj održanih sastanaka radne skupine za 5G mreže</w:t>
            </w:r>
          </w:p>
        </w:tc>
        <w:tc>
          <w:tcPr>
            <w:tcW w:w="2245" w:type="dxa"/>
            <w:vAlign w:val="top"/>
          </w:tcPr>
          <w:p w:rsidR="002E3202" w:rsidRDefault="00391FE7">
            <w:pPr>
              <w:pStyle w:val="CellColumn"/>
              <w:jc w:val="left"/>
            </w:pPr>
            <w:r>
              <w:rPr>
                <w:rFonts w:cs="Times New Roman"/>
              </w:rPr>
              <w:t>Izvješćivanje o napretku uvođenja 5G mreža, identificiranje uočenih prepreka i teškoća vezanih uz uvođenje 5G mreža, suradnja radne skupine s tijelima državne uprave nadležnima za digitalno društvo</w:t>
            </w:r>
          </w:p>
        </w:tc>
        <w:tc>
          <w:tcPr>
            <w:tcW w:w="918" w:type="dxa"/>
          </w:tcPr>
          <w:p w:rsidR="002E3202" w:rsidRDefault="00391FE7">
            <w:pPr>
              <w:jc w:val="center"/>
            </w:pPr>
            <w:r>
              <w:t>broj</w:t>
            </w:r>
          </w:p>
        </w:tc>
        <w:tc>
          <w:tcPr>
            <w:tcW w:w="918" w:type="dxa"/>
          </w:tcPr>
          <w:p w:rsidR="002E3202" w:rsidRDefault="00391FE7">
            <w:pPr>
              <w:jc w:val="center"/>
            </w:pPr>
            <w:r>
              <w:t>1</w:t>
            </w:r>
          </w:p>
        </w:tc>
        <w:tc>
          <w:tcPr>
            <w:tcW w:w="918" w:type="dxa"/>
          </w:tcPr>
          <w:p w:rsidR="002E3202" w:rsidRDefault="00391FE7">
            <w:pPr>
              <w:pStyle w:val="CellColumn"/>
              <w:jc w:val="center"/>
            </w:pPr>
            <w:r>
              <w:rPr>
                <w:rFonts w:cs="Times New Roman"/>
              </w:rPr>
              <w:t>Hrvatska regulatorna agencija za mrežne djelatnosti</w:t>
            </w:r>
          </w:p>
        </w:tc>
        <w:tc>
          <w:tcPr>
            <w:tcW w:w="918" w:type="dxa"/>
          </w:tcPr>
          <w:p w:rsidR="002E3202" w:rsidRDefault="00391FE7">
            <w:pPr>
              <w:jc w:val="center"/>
            </w:pPr>
            <w:r>
              <w:t>1</w:t>
            </w:r>
          </w:p>
        </w:tc>
        <w:tc>
          <w:tcPr>
            <w:tcW w:w="918" w:type="dxa"/>
          </w:tcPr>
          <w:p w:rsidR="002E3202" w:rsidRDefault="00391FE7">
            <w:pPr>
              <w:jc w:val="center"/>
            </w:pPr>
            <w:r>
              <w:t>1</w:t>
            </w:r>
          </w:p>
        </w:tc>
        <w:tc>
          <w:tcPr>
            <w:tcW w:w="918" w:type="dxa"/>
          </w:tcPr>
          <w:p w:rsidR="002E3202" w:rsidRDefault="00391FE7">
            <w:pPr>
              <w:jc w:val="center"/>
            </w:pPr>
            <w:r>
              <w:t>1</w:t>
            </w:r>
          </w:p>
        </w:tc>
      </w:tr>
    </w:tbl>
    <w:p w:rsidR="002E3202" w:rsidRDefault="002E3202">
      <w:pPr>
        <w:jc w:val="left"/>
      </w:pPr>
    </w:p>
    <w:p w:rsidR="002E3202" w:rsidRDefault="00391FE7">
      <w:pPr>
        <w:pStyle w:val="Heading3"/>
      </w:pPr>
      <w:r>
        <w:rPr>
          <w:rFonts w:cs="Times New Roman"/>
        </w:rPr>
        <w:t>3109 SIGURNOST PLOVIDBE</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3109</w:t>
            </w:r>
          </w:p>
        </w:tc>
        <w:tc>
          <w:tcPr>
            <w:tcW w:w="1632" w:type="dxa"/>
          </w:tcPr>
          <w:p w:rsidR="002E3202" w:rsidRDefault="00391FE7">
            <w:pPr>
              <w:jc w:val="right"/>
            </w:pPr>
            <w:r>
              <w:t>18.264.921</w:t>
            </w:r>
          </w:p>
        </w:tc>
        <w:tc>
          <w:tcPr>
            <w:tcW w:w="1632" w:type="dxa"/>
          </w:tcPr>
          <w:p w:rsidR="002E3202" w:rsidRDefault="00391FE7">
            <w:pPr>
              <w:jc w:val="right"/>
            </w:pPr>
            <w:r>
              <w:t>32.512.447</w:t>
            </w:r>
          </w:p>
        </w:tc>
        <w:tc>
          <w:tcPr>
            <w:tcW w:w="1632" w:type="dxa"/>
          </w:tcPr>
          <w:p w:rsidR="002E3202" w:rsidRDefault="00391FE7">
            <w:pPr>
              <w:jc w:val="right"/>
            </w:pPr>
            <w:r>
              <w:t>42.828.580</w:t>
            </w:r>
          </w:p>
        </w:tc>
        <w:tc>
          <w:tcPr>
            <w:tcW w:w="1632" w:type="dxa"/>
          </w:tcPr>
          <w:p w:rsidR="002E3202" w:rsidRDefault="00391FE7">
            <w:pPr>
              <w:jc w:val="right"/>
            </w:pPr>
            <w:r>
              <w:t>38.142.439</w:t>
            </w:r>
          </w:p>
        </w:tc>
        <w:tc>
          <w:tcPr>
            <w:tcW w:w="1632" w:type="dxa"/>
          </w:tcPr>
          <w:p w:rsidR="002E3202" w:rsidRDefault="00391FE7">
            <w:pPr>
              <w:jc w:val="right"/>
            </w:pPr>
            <w:r>
              <w:t>38.365.676</w:t>
            </w:r>
          </w:p>
        </w:tc>
        <w:tc>
          <w:tcPr>
            <w:tcW w:w="510" w:type="dxa"/>
          </w:tcPr>
          <w:p w:rsidR="002E3202" w:rsidRDefault="00391FE7">
            <w:pPr>
              <w:jc w:val="right"/>
            </w:pPr>
            <w:r>
              <w:t>131,7</w:t>
            </w:r>
          </w:p>
        </w:tc>
      </w:tr>
    </w:tbl>
    <w:p w:rsidR="002E3202" w:rsidRDefault="002E3202">
      <w:pPr>
        <w:jc w:val="left"/>
      </w:pPr>
    </w:p>
    <w:p w:rsidR="002E3202" w:rsidRDefault="00391FE7">
      <w:pPr>
        <w:pStyle w:val="Heading8"/>
        <w:jc w:val="left"/>
      </w:pPr>
      <w:r>
        <w:t>Cilj 1. Sigurna plovidba morem i unutarnjim vodama</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Smanjen broj plovidbenih nezgoda</w:t>
            </w:r>
          </w:p>
        </w:tc>
        <w:tc>
          <w:tcPr>
            <w:tcW w:w="2245" w:type="dxa"/>
            <w:vAlign w:val="top"/>
          </w:tcPr>
          <w:p w:rsidR="002E3202" w:rsidRDefault="00391FE7">
            <w:pPr>
              <w:pStyle w:val="CellColumn"/>
              <w:jc w:val="left"/>
            </w:pPr>
            <w:r>
              <w:rPr>
                <w:rFonts w:cs="Times New Roman"/>
              </w:rPr>
              <w:t>Smanjenje broja evidentiranih pomorskih nezgoda u promatranom razdoblju ukazuje na povećanje razine sigurnosti plovidbe</w:t>
            </w:r>
          </w:p>
        </w:tc>
        <w:tc>
          <w:tcPr>
            <w:tcW w:w="918" w:type="dxa"/>
          </w:tcPr>
          <w:p w:rsidR="002E3202" w:rsidRDefault="00391FE7">
            <w:pPr>
              <w:jc w:val="center"/>
            </w:pPr>
            <w:r>
              <w:t>broj</w:t>
            </w:r>
          </w:p>
        </w:tc>
        <w:tc>
          <w:tcPr>
            <w:tcW w:w="918" w:type="dxa"/>
          </w:tcPr>
          <w:p w:rsidR="002E3202" w:rsidRDefault="00391FE7">
            <w:pPr>
              <w:jc w:val="center"/>
            </w:pPr>
            <w:r>
              <w:t>980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&lt;960</w:t>
            </w:r>
          </w:p>
        </w:tc>
        <w:tc>
          <w:tcPr>
            <w:tcW w:w="918" w:type="dxa"/>
          </w:tcPr>
          <w:p w:rsidR="002E3202" w:rsidRDefault="00391FE7">
            <w:pPr>
              <w:jc w:val="center"/>
            </w:pPr>
            <w:r>
              <w:t>&lt;950</w:t>
            </w:r>
          </w:p>
        </w:tc>
        <w:tc>
          <w:tcPr>
            <w:tcW w:w="918" w:type="dxa"/>
          </w:tcPr>
          <w:p w:rsidR="002E3202" w:rsidRDefault="00391FE7">
            <w:pPr>
              <w:jc w:val="center"/>
            </w:pPr>
            <w:r>
              <w:t>&lt;940</w:t>
            </w:r>
          </w:p>
        </w:tc>
      </w:tr>
    </w:tbl>
    <w:p w:rsidR="002E3202" w:rsidRDefault="002E3202">
      <w:pPr>
        <w:jc w:val="left"/>
      </w:pPr>
    </w:p>
    <w:p w:rsidR="002E3202" w:rsidRDefault="00391FE7">
      <w:pPr>
        <w:pStyle w:val="Heading4"/>
      </w:pPr>
      <w:r>
        <w:t>A570017 SIGURNOST PLOVIDBE</w:t>
      </w:r>
    </w:p>
    <w:p w:rsidR="002E3202" w:rsidRDefault="00391FE7">
      <w:pPr>
        <w:pStyle w:val="Heading8"/>
        <w:jc w:val="left"/>
      </w:pPr>
      <w:r>
        <w:t>Zakonske i druge pravne osnove</w:t>
      </w:r>
    </w:p>
    <w:p w:rsidR="002E3202" w:rsidRDefault="00391FE7">
      <w:r>
        <w:t xml:space="preserve">- Pomorski zakonik, dio III., IV., V., VIII. i XI. </w:t>
      </w:r>
    </w:p>
    <w:p w:rsidR="002E3202" w:rsidRDefault="00391FE7">
      <w:r>
        <w:t xml:space="preserve">- Zakon o plovidbi i lukama unutarnjih voda </w:t>
      </w:r>
    </w:p>
    <w:p w:rsidR="002E3202" w:rsidRDefault="00391FE7">
      <w:r>
        <w:t xml:space="preserve">- Zakon o lučkim kapetanijama </w:t>
      </w:r>
    </w:p>
    <w:p w:rsidR="002E3202" w:rsidRDefault="00391FE7">
      <w:r>
        <w:t xml:space="preserve">- Zakon o pomorskom dobru i morskim lukama dio IV., V. i VI. </w:t>
      </w:r>
    </w:p>
    <w:p w:rsidR="002E3202" w:rsidRDefault="00391FE7">
      <w:r>
        <w:t xml:space="preserve">- Zakon o sigurnosnoj zaštiti pomorskih brodova i luka </w:t>
      </w:r>
    </w:p>
    <w:p w:rsidR="002E3202" w:rsidRDefault="00391FE7">
      <w:r>
        <w:t xml:space="preserve">- Nacionalni plan traganja i spašavanja ljudskih života na moru </w:t>
      </w:r>
    </w:p>
    <w:p w:rsidR="002E3202" w:rsidRDefault="00391FE7">
      <w:r>
        <w:t xml:space="preserve">- Plan intervencija kod iznenadnih onečišćenja mora </w:t>
      </w:r>
    </w:p>
    <w:p w:rsidR="002E3202" w:rsidRDefault="00391FE7">
      <w:r>
        <w:t xml:space="preserve">- Pravilnik o službenoj odori državnih službenika lučkih kapetanija </w:t>
      </w:r>
    </w:p>
    <w:p w:rsidR="002E3202" w:rsidRDefault="00391FE7">
      <w:r>
        <w:t>- Zakon o Plovputu</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A570017</w:t>
            </w:r>
          </w:p>
        </w:tc>
        <w:tc>
          <w:tcPr>
            <w:tcW w:w="1632" w:type="dxa"/>
            <w:vAlign w:val="top"/>
          </w:tcPr>
          <w:p w:rsidR="002E3202" w:rsidRDefault="00391FE7">
            <w:pPr>
              <w:jc w:val="right"/>
            </w:pPr>
            <w:r>
              <w:t>16.158.231</w:t>
            </w:r>
          </w:p>
        </w:tc>
        <w:tc>
          <w:tcPr>
            <w:tcW w:w="1632" w:type="dxa"/>
            <w:vAlign w:val="top"/>
          </w:tcPr>
          <w:p w:rsidR="002E3202" w:rsidRDefault="00391FE7">
            <w:pPr>
              <w:jc w:val="right"/>
            </w:pPr>
            <w:r>
              <w:t>20.370.472</w:t>
            </w:r>
          </w:p>
        </w:tc>
        <w:tc>
          <w:tcPr>
            <w:tcW w:w="1632" w:type="dxa"/>
            <w:vAlign w:val="top"/>
          </w:tcPr>
          <w:p w:rsidR="002E3202" w:rsidRDefault="00391FE7">
            <w:pPr>
              <w:jc w:val="right"/>
            </w:pPr>
            <w:r>
              <w:t>27.929.508</w:t>
            </w:r>
          </w:p>
        </w:tc>
        <w:tc>
          <w:tcPr>
            <w:tcW w:w="1632" w:type="dxa"/>
            <w:vAlign w:val="top"/>
          </w:tcPr>
          <w:p w:rsidR="002E3202" w:rsidRDefault="00391FE7">
            <w:pPr>
              <w:jc w:val="right"/>
            </w:pPr>
            <w:r>
              <w:t>27.033.275</w:t>
            </w:r>
          </w:p>
        </w:tc>
        <w:tc>
          <w:tcPr>
            <w:tcW w:w="1632" w:type="dxa"/>
            <w:vAlign w:val="top"/>
          </w:tcPr>
          <w:p w:rsidR="002E3202" w:rsidRDefault="00391FE7">
            <w:pPr>
              <w:jc w:val="right"/>
            </w:pPr>
            <w:r>
              <w:t>27.798.731</w:t>
            </w:r>
          </w:p>
        </w:tc>
        <w:tc>
          <w:tcPr>
            <w:tcW w:w="510" w:type="dxa"/>
            <w:vAlign w:val="top"/>
          </w:tcPr>
          <w:p w:rsidR="002E3202" w:rsidRDefault="00391FE7">
            <w:pPr>
              <w:jc w:val="right"/>
            </w:pPr>
            <w:r>
              <w:t>137,1</w:t>
            </w:r>
          </w:p>
        </w:tc>
      </w:tr>
    </w:tbl>
    <w:p w:rsidR="002E3202" w:rsidRDefault="002E3202">
      <w:pPr>
        <w:jc w:val="left"/>
      </w:pPr>
    </w:p>
    <w:p w:rsidR="002E3202" w:rsidRDefault="00391FE7">
      <w:r>
        <w:t xml:space="preserve">Ovom aktivnosti osiguravaju se sredstva državnog proračuna nužna za pružanje usluga sigurnosti plovidbe kao što su traganje i spašavanje osoba u pogibelji na moru i unutarnjim vodama, nadzor i upravljanje pomorskim prometom i prometom na unutarnjim vodama, poslovi predviđanja, sprječavanja, ograničavanja, spremnosti za i reagiranje na iznenadna onečišćenja mora, obavljanje inspekcijskog nadzora sigurnosti plovidbe i pomorskog dobra, obavljanje tehničkog nadzora nad pomorskim objektima i plovnim objektima unutarnje plovidbe, provjera osposobljenosti pomoraca, brodaraca i nautičara, izdavanje svjedodžbi i uvjerenja o osposobljenosti, vođenje upisnika i očevidnika pomorskih objekata i plovila unutarnje plovidbe, koje su u izravnoj nadležnosti Republike Hrvatske, odnosno Ministarstva mora, prometa i infrastrukture sukladno međunarodnim i nacionalnim propisima. </w:t>
      </w:r>
    </w:p>
    <w:p w:rsidR="002E3202" w:rsidRDefault="00391FE7">
      <w:r>
        <w:t xml:space="preserve">Na aktivnosti su osigurana sredstva za pokriće troškova za zaposlene djelatnike Uprave sigurnosti plovidbe i lučkih kapetanija, sredstva za redovan rad i održavanje flote lučkih kapetanija, sredstva za održavanje sustava za nadzor pomorskog prometa i prometa unutarnjim vodama (VTS i RIS sustavi), održavanja i nadogradnji Informacijskog sustava sigurnosti plovidbe te nabavku automobila i ostale opreme i uređaja koji su potrebi za redovito obavljanje poslova iz nadležnosti Uprave sigurnosti plovidbe. </w:t>
      </w:r>
    </w:p>
    <w:p w:rsidR="002E3202" w:rsidRDefault="00391FE7">
      <w:r>
        <w:t xml:space="preserve">Troškovi za zaposlene djelatnike su troškovi plaća i doprinosa, službenih putovanja, naknade za prijevoz, za rad na terenu i odvojeni život, stručnog usavršavanja, odora, zaštitne radne odjeće i obuće i ostalih rashoda za zaposlene koji su planirani u ukupnom iznosu od 16.578.000 EUR, a utvrđeni su uzimajući u obzir troškove 383 trenutno zaposlena djelatnika na neodređeno vrijeme, troškove 20 državnih službenika na određeno vrijeme koje se zapošljavaju svake godine u lučkim kapetanijama i ispostavama lučkih kapetanija tijekom turističke sezone zbog povećanog opsega poslova, troškove 38 djelatnika koji bi trebali početi raditi tijekom 2024. godine temeljem postupaka prijama u državnu službu koji su u tijeku, kao i troškove zaposlenih temeljem Plana prijama za 2024. godinu, koji će prvenstveno uzeti u obzir popunu nužnih mjesto upražnjenih odlaskom djelatnika u mirovinu kao i popunu onih radnih mjesta nužnih za provedbu reformskih mjera. Pri izračunu uzeti su o obzir troškovi djelatnika u službama koje rade bez prekida, odnosno 24 sata 365 dana godišnje i planirano usklađivanje ustrojstva lučkih kapetanija sa Zakonom o lučkim kapetanijama. U 2023. godini planirana je nabava službenih odora za djelatnike Uprave sigurnosti plovidbe te ugovaranje okvirnog sporazuma na 4 godine. Procijenjena vrijednost nabave za 2024. godinu iznosi 700.000 EUR za što su osigurana financijska sredstava. Troškovi za redovan rad i održavanje flote koju čine 4 broda, 30 brodica, 12 čamaca lučkih kapetanija obuhvaćaju troškove tekućeg i investicijskog održavanja uključujući i potrošni materijal, dodatnih ulaganja u opremu i uređaje, troškove goriva i ostale manje troškove u ukupnom iznosu od 1.800.000 EUR. Za potrebe upravljanja (troškovi održavanja i posade) školskim brodom Kraljica mora, u 2023. godini osigurana su sredstva u iznosu od 400.000 EUR, a za projekt zamjene snasti na školskom brodu osigurano je dodatnih 620.000 EUR. </w:t>
      </w:r>
    </w:p>
    <w:p w:rsidR="002E3202" w:rsidRDefault="00391FE7">
      <w:r>
        <w:t xml:space="preserve">Za potrebe tekućeg i investicijskog održavanja sustava za nadzor pomorskog prometa (VTMIS) i prometa unutarnjim vodama (RIS), kojeg čine 11 radarskih postaja, 6 CCTV kamera, 41 AIS baznih postaja i 63 VHF bazne postaje s pridruženim informacijskim sustavima osigurano je na ovoj aktivnosti u iznosu od 563.408 EUR, a za telekomunikacijsko povezivanje svih lokacija na kojima su smješteni VTMIS i RIS oprema i uređaji, prostora lučkih kapetanija i ispostava lučkih kapetanija osiguran je iznos od 713.385 EUR. Za nabavku nove informatičke opreme, licence, održavanje i dogradnje Informacijskog sustava sigurnosti plovidbe osigurano je ukupno 2.078.200 EUR. </w:t>
      </w:r>
    </w:p>
    <w:p w:rsidR="002E3202" w:rsidRDefault="00391FE7">
      <w:r>
        <w:t xml:space="preserve">Za redovito godišnje obnavljanje voznog parka lučkih kapetanija planirano je 132.000 EUR. </w:t>
      </w:r>
    </w:p>
    <w:p w:rsidR="002E3202" w:rsidRDefault="00391FE7">
      <w:r>
        <w:t xml:space="preserve">Od 116 poslovnih prostora koje koriste Uprava sigurnosti plovidbe i lučke kapetanije 63 prostora su u vlasništvu Republike Hrvatske, a 43 u najmu. U proračunu za 2024. godinu osigurana su sredstva u iznosu 663.614 EUR za potrebe kapitalnih ulaganja, a za tekućeg održavanja, nabavku namještaja, opreme i uređaja, zakupnine i najamnine, troškove električne energije i ostale režijske troškove osiguran je iznos od 3.710.000 EUR. </w:t>
      </w:r>
    </w:p>
    <w:p w:rsidR="002E3202" w:rsidRDefault="00391FE7">
      <w:r>
        <w:t>Na aktivnosti su osigurana i sredstva za plaćanje članarina i normi u nacionalnim i međunarodnim asocijacijama, organizacijama, te institucijama (članstva u IALA, IMRF, PMoU te MedMoU), a za koje obveza članstva proizlazi iz sklopljenih međunarodnih ugovora te zakonskih propisa.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Porast učestalosti inspekcijskih pregleda</w:t>
            </w:r>
          </w:p>
        </w:tc>
        <w:tc>
          <w:tcPr>
            <w:tcW w:w="2245" w:type="dxa"/>
            <w:vAlign w:val="top"/>
          </w:tcPr>
          <w:p w:rsidR="002E3202" w:rsidRDefault="00391FE7">
            <w:pPr>
              <w:pStyle w:val="CellColumn"/>
              <w:jc w:val="left"/>
            </w:pPr>
            <w:r>
              <w:rPr>
                <w:rFonts w:cs="Times New Roman"/>
              </w:rPr>
              <w:t>Veći broj inspekcijskih pregleda ukazuje na porast nadzora sigurnosti plovidbe od strane inspektora sigurnosti plovidbe i ovlaštenih djelatnika</w:t>
            </w:r>
          </w:p>
        </w:tc>
        <w:tc>
          <w:tcPr>
            <w:tcW w:w="918" w:type="dxa"/>
          </w:tcPr>
          <w:p w:rsidR="002E3202" w:rsidRDefault="00391FE7">
            <w:pPr>
              <w:jc w:val="center"/>
            </w:pPr>
            <w:r>
              <w:t>broj</w:t>
            </w:r>
          </w:p>
        </w:tc>
        <w:tc>
          <w:tcPr>
            <w:tcW w:w="918" w:type="dxa"/>
          </w:tcPr>
          <w:p w:rsidR="002E3202" w:rsidRDefault="00391FE7">
            <w:pPr>
              <w:jc w:val="center"/>
            </w:pPr>
            <w:r>
              <w:t>7.461</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&gt;7.500</w:t>
            </w:r>
          </w:p>
        </w:tc>
        <w:tc>
          <w:tcPr>
            <w:tcW w:w="918" w:type="dxa"/>
          </w:tcPr>
          <w:p w:rsidR="002E3202" w:rsidRDefault="00391FE7">
            <w:pPr>
              <w:jc w:val="center"/>
            </w:pPr>
            <w:r>
              <w:t>&gt;7.525</w:t>
            </w:r>
          </w:p>
        </w:tc>
        <w:tc>
          <w:tcPr>
            <w:tcW w:w="918" w:type="dxa"/>
          </w:tcPr>
          <w:p w:rsidR="002E3202" w:rsidRDefault="00391FE7">
            <w:pPr>
              <w:jc w:val="center"/>
            </w:pPr>
            <w:r>
              <w:t>&gt;7.550</w:t>
            </w:r>
          </w:p>
        </w:tc>
      </w:tr>
      <w:tr w:rsidR="002E3202">
        <w:trPr>
          <w:jc w:val="center"/>
        </w:trPr>
        <w:tc>
          <w:tcPr>
            <w:tcW w:w="2245" w:type="dxa"/>
            <w:vAlign w:val="top"/>
          </w:tcPr>
          <w:p w:rsidR="002E3202" w:rsidRDefault="00391FE7">
            <w:pPr>
              <w:pStyle w:val="CellColumn"/>
              <w:jc w:val="left"/>
            </w:pPr>
            <w:r>
              <w:rPr>
                <w:rFonts w:cs="Times New Roman"/>
              </w:rPr>
              <w:t>Smanjenje broja zaustavljanja brodova hrvatske zastave u nacionalnoj plovidbi</w:t>
            </w:r>
          </w:p>
        </w:tc>
        <w:tc>
          <w:tcPr>
            <w:tcW w:w="2245" w:type="dxa"/>
            <w:vAlign w:val="top"/>
          </w:tcPr>
          <w:p w:rsidR="002E3202" w:rsidRDefault="00391FE7">
            <w:pPr>
              <w:pStyle w:val="CellColumn"/>
              <w:jc w:val="left"/>
            </w:pPr>
            <w:r>
              <w:rPr>
                <w:rFonts w:cs="Times New Roman"/>
              </w:rPr>
              <w:t>Manji broj zaustavljanja pokazatelj je porasta razine poštivanja zakonskih i tehničkih odredbi od strane brodara i vlasnika brodova u nacionalnoj plovidbi</w:t>
            </w:r>
          </w:p>
        </w:tc>
        <w:tc>
          <w:tcPr>
            <w:tcW w:w="918" w:type="dxa"/>
          </w:tcPr>
          <w:p w:rsidR="002E3202" w:rsidRDefault="00391FE7">
            <w:pPr>
              <w:jc w:val="center"/>
            </w:pPr>
            <w:r>
              <w:t>broj</w:t>
            </w:r>
          </w:p>
        </w:tc>
        <w:tc>
          <w:tcPr>
            <w:tcW w:w="918" w:type="dxa"/>
          </w:tcPr>
          <w:p w:rsidR="002E3202" w:rsidRDefault="00391FE7">
            <w:pPr>
              <w:jc w:val="center"/>
            </w:pPr>
            <w:r>
              <w:t>17</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&lt;15</w:t>
            </w:r>
          </w:p>
        </w:tc>
        <w:tc>
          <w:tcPr>
            <w:tcW w:w="918" w:type="dxa"/>
          </w:tcPr>
          <w:p w:rsidR="002E3202" w:rsidRDefault="00391FE7">
            <w:pPr>
              <w:jc w:val="center"/>
            </w:pPr>
            <w:r>
              <w:t>&lt;14</w:t>
            </w:r>
          </w:p>
        </w:tc>
        <w:tc>
          <w:tcPr>
            <w:tcW w:w="918" w:type="dxa"/>
          </w:tcPr>
          <w:p w:rsidR="002E3202" w:rsidRDefault="00391FE7">
            <w:pPr>
              <w:jc w:val="center"/>
            </w:pPr>
            <w:r>
              <w:t>&lt;13</w:t>
            </w:r>
          </w:p>
        </w:tc>
      </w:tr>
      <w:tr w:rsidR="002E3202">
        <w:trPr>
          <w:jc w:val="center"/>
        </w:trPr>
        <w:tc>
          <w:tcPr>
            <w:tcW w:w="2245" w:type="dxa"/>
            <w:vAlign w:val="top"/>
          </w:tcPr>
          <w:p w:rsidR="002E3202" w:rsidRDefault="00391FE7">
            <w:pPr>
              <w:pStyle w:val="CellColumn"/>
              <w:jc w:val="left"/>
            </w:pPr>
            <w:r>
              <w:rPr>
                <w:rFonts w:cs="Times New Roman"/>
              </w:rPr>
              <w:t>Smanjenje onečišćenja mora s pomorskih objekata</w:t>
            </w:r>
          </w:p>
        </w:tc>
        <w:tc>
          <w:tcPr>
            <w:tcW w:w="2245" w:type="dxa"/>
            <w:vAlign w:val="top"/>
          </w:tcPr>
          <w:p w:rsidR="002E3202" w:rsidRDefault="00391FE7">
            <w:pPr>
              <w:pStyle w:val="CellColumn"/>
              <w:jc w:val="left"/>
            </w:pPr>
            <w:r>
              <w:rPr>
                <w:rFonts w:cs="Times New Roman"/>
              </w:rPr>
              <w:t>Manji broj onečišćenja mora s pomorskih objekata ukazuje na bolju zaštitu morskog okoliša</w:t>
            </w:r>
          </w:p>
        </w:tc>
        <w:tc>
          <w:tcPr>
            <w:tcW w:w="918" w:type="dxa"/>
          </w:tcPr>
          <w:p w:rsidR="002E3202" w:rsidRDefault="00391FE7">
            <w:pPr>
              <w:jc w:val="center"/>
            </w:pPr>
            <w:r>
              <w:t>broj</w:t>
            </w:r>
          </w:p>
        </w:tc>
        <w:tc>
          <w:tcPr>
            <w:tcW w:w="918" w:type="dxa"/>
          </w:tcPr>
          <w:p w:rsidR="002E3202" w:rsidRDefault="00391FE7">
            <w:pPr>
              <w:jc w:val="center"/>
            </w:pPr>
            <w:r>
              <w:t>23</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&lt;21</w:t>
            </w:r>
          </w:p>
        </w:tc>
        <w:tc>
          <w:tcPr>
            <w:tcW w:w="918" w:type="dxa"/>
          </w:tcPr>
          <w:p w:rsidR="002E3202" w:rsidRDefault="00391FE7">
            <w:pPr>
              <w:jc w:val="center"/>
            </w:pPr>
            <w:r>
              <w:t>&lt;20</w:t>
            </w:r>
          </w:p>
        </w:tc>
        <w:tc>
          <w:tcPr>
            <w:tcW w:w="918" w:type="dxa"/>
          </w:tcPr>
          <w:p w:rsidR="002E3202" w:rsidRDefault="00391FE7">
            <w:pPr>
              <w:jc w:val="center"/>
            </w:pPr>
            <w:r>
              <w:t>&lt;19</w:t>
            </w:r>
          </w:p>
        </w:tc>
      </w:tr>
    </w:tbl>
    <w:p w:rsidR="002E3202" w:rsidRDefault="002E3202">
      <w:pPr>
        <w:jc w:val="left"/>
      </w:pPr>
    </w:p>
    <w:p w:rsidR="002E3202" w:rsidRDefault="00391FE7">
      <w:pPr>
        <w:pStyle w:val="Heading4"/>
      </w:pPr>
      <w:r>
        <w:t>A754057 ODRŽAVANJE ŠKOLSKIH BRODOVA SREDNJOŠKOLSKIH POMORSKIH UČILIŠTA I OPREMANJE OBVEZNOM OPREMOM U SKLADU S ODREDBAMA STCW KONVENCIJE</w:t>
      </w:r>
    </w:p>
    <w:p w:rsidR="002E3202" w:rsidRDefault="00391FE7">
      <w:pPr>
        <w:pStyle w:val="Heading8"/>
        <w:jc w:val="left"/>
      </w:pPr>
      <w:r>
        <w:t>Zakonske i druge pravne osnove</w:t>
      </w:r>
    </w:p>
    <w:p w:rsidR="002E3202" w:rsidRDefault="00391FE7">
      <w:r>
        <w:t xml:space="preserve">- Pomorski zakonik, članak 132. </w:t>
      </w:r>
    </w:p>
    <w:p w:rsidR="002E3202" w:rsidRDefault="00391FE7">
      <w:r>
        <w:t xml:space="preserve">- Zakon o plovidbi i lukama unutarnjih voda, članak 75. </w:t>
      </w:r>
    </w:p>
    <w:p w:rsidR="002E3202" w:rsidRDefault="00391FE7">
      <w:r>
        <w:t xml:space="preserve">- Pravilnik o zvanjima i svjedodžbama o osposobljenosti pomoraca, članak 79. i Prilog G2 </w:t>
      </w:r>
    </w:p>
    <w:p w:rsidR="002E3202" w:rsidRDefault="00391FE7">
      <w:r>
        <w:t>- Pravilnik o posadi plovila i plutajućih objekata unutarnje plovidbe, članak 45. i Prilog IV.</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A754057</w:t>
            </w:r>
          </w:p>
        </w:tc>
        <w:tc>
          <w:tcPr>
            <w:tcW w:w="1632" w:type="dxa"/>
            <w:vAlign w:val="top"/>
          </w:tcPr>
          <w:p w:rsidR="002E3202" w:rsidRDefault="00391FE7">
            <w:pPr>
              <w:jc w:val="right"/>
            </w:pPr>
            <w:r>
              <w:t>179.580</w:t>
            </w:r>
          </w:p>
        </w:tc>
        <w:tc>
          <w:tcPr>
            <w:tcW w:w="1632" w:type="dxa"/>
            <w:vAlign w:val="top"/>
          </w:tcPr>
          <w:p w:rsidR="002E3202" w:rsidRDefault="00391FE7">
            <w:pPr>
              <w:jc w:val="right"/>
            </w:pPr>
            <w:r>
              <w:t>890.262</w:t>
            </w:r>
          </w:p>
        </w:tc>
        <w:tc>
          <w:tcPr>
            <w:tcW w:w="1632" w:type="dxa"/>
            <w:vAlign w:val="top"/>
          </w:tcPr>
          <w:p w:rsidR="002E3202" w:rsidRDefault="00391FE7">
            <w:pPr>
              <w:jc w:val="right"/>
            </w:pPr>
            <w:r>
              <w:t>900.000</w:t>
            </w:r>
          </w:p>
        </w:tc>
        <w:tc>
          <w:tcPr>
            <w:tcW w:w="1632" w:type="dxa"/>
            <w:vAlign w:val="top"/>
          </w:tcPr>
          <w:p w:rsidR="002E3202" w:rsidRDefault="00391FE7">
            <w:pPr>
              <w:jc w:val="right"/>
            </w:pPr>
            <w:r>
              <w:t>900.000</w:t>
            </w:r>
          </w:p>
        </w:tc>
        <w:tc>
          <w:tcPr>
            <w:tcW w:w="1632" w:type="dxa"/>
            <w:vAlign w:val="top"/>
          </w:tcPr>
          <w:p w:rsidR="002E3202" w:rsidRDefault="00391FE7">
            <w:pPr>
              <w:jc w:val="right"/>
            </w:pPr>
            <w:r>
              <w:t>900.000</w:t>
            </w:r>
          </w:p>
        </w:tc>
        <w:tc>
          <w:tcPr>
            <w:tcW w:w="510" w:type="dxa"/>
            <w:vAlign w:val="top"/>
          </w:tcPr>
          <w:p w:rsidR="002E3202" w:rsidRDefault="00391FE7">
            <w:pPr>
              <w:jc w:val="right"/>
            </w:pPr>
            <w:r>
              <w:t>101,1</w:t>
            </w:r>
          </w:p>
        </w:tc>
      </w:tr>
    </w:tbl>
    <w:p w:rsidR="002E3202" w:rsidRDefault="002E3202">
      <w:pPr>
        <w:jc w:val="left"/>
      </w:pPr>
    </w:p>
    <w:p w:rsidR="002E3202" w:rsidRDefault="00391FE7">
      <w:r>
        <w:t xml:space="preserve">Međunarodnom konvencijom o standardima izobrazbe, izdavanju svjedodžbi i držanju straže pomoraca (STCW) 1978, propisani i specifični uvjeti u pogledu tehničke i materijalne opremljenosti kojima moraju udovoljiti učilišta ovlaštena za provedbu programa obrazovanja i/ili izobrazbe pomoraca. Sredstva na ovoj aktivnosti koristit će se za opremanje srednjoškolskih pomorskih učilišta u vlasništvu područne (regionalne) samouprave obveznom opremom u skladu sa odredbama STCW Konvencije 1978, kako je izmijenjena i dopunjena, te nacionalnih propisa kojim su implementirani sadržaji iste. </w:t>
      </w:r>
    </w:p>
    <w:p w:rsidR="002E3202" w:rsidRDefault="00391FE7">
      <w:r>
        <w:t xml:space="preserve"> </w:t>
      </w:r>
    </w:p>
    <w:p w:rsidR="002E3202" w:rsidRDefault="00391FE7">
      <w:r>
        <w:t xml:space="preserve">Pravnom stečevinom EU i to u prvom redu odredbama Direktive (EU) 2017/2397 Europskog parlamenta i Vijeća od 12. prosinca 2017. o priznavanju stručnih kvalifikacija u unutarnjoj plovidbi i stavljanju izvan snage direktiva Vijeća 91/672/EEZ i 96/50/EZ (Tekst značajan za EGP) (SL L 345, 27. 12. 2017.), Delegirane direktive Komisije (EU) 2020/12 od 2. kolovoza 2019. o dopuni Direktive (EU) 2017/2397 Europskog parlamenta i Vijeća s obzirom na standarde za kompetencije i odgovarajuća znanja i vještine, za praktične ispite, za odobravanje simulatora i za zdravstvenu sposobnost (Tekst značajan za EGP) (SL L 6, 10. 1.2020.), te Direktive (EU) 2021/1233 Europskog parlamenta i Vijeća od 14. srpnja 2021. o izmjeni Direktive (EU) 2017/2397 u pogledu prijelaznih mjera za priznavanje svjedodžbi trećih zemalja (Tekst značajan za EGP) (SL L 274, 30. 7. 2021.) propisani su specifični uvjeti u pogledu tehničke i materijale opremljenosti kojima moraju udovoljiti brodarska učilišta ovlaštena za provedbu programa obrazovanja brodaraca. Sredstva na ovoj aktivnosti koristit će se za opremanje srednjoškolskih brodarskih učilišta u vlasništvu područne (regionalne) samouprave obveznom opremom u skladu sa odredbama navedenih EU standarda, te nacionalnih propisa kojim su implementirani sadržaji istih. </w:t>
      </w:r>
    </w:p>
    <w:p w:rsidR="002E3202" w:rsidRDefault="00391FE7">
      <w:r>
        <w:t xml:space="preserve"> </w:t>
      </w:r>
    </w:p>
    <w:p w:rsidR="002E3202" w:rsidRDefault="00391FE7">
      <w:r>
        <w:t>Aktivnost se provodi svake proračunske godine počevši od 2018., a procjena potrebnih sredstava napravljena je temeljem prikupljenih podataka o potrebama za nabavkom i nadogradnjom opreme srednjoškolskih pomorskih i brodarskih učilišta, prosječnih tržišnih vrijednosti nabave i stavljanja u funkciju opreme, a sve sa ciljem da se godišnje svaka srednja pomorska i brodarska škola opremi barem jednim odgovarajućim simulatorom i/ili nekim drugim potrebnim uređajem.</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Opremljenost srednjoškolskih pomorskih učilišta sukladno zadnjim zahtjevima izmijenjene i dopunjene STCW Konvencije</w:t>
            </w:r>
          </w:p>
        </w:tc>
        <w:tc>
          <w:tcPr>
            <w:tcW w:w="2245" w:type="dxa"/>
            <w:vAlign w:val="top"/>
          </w:tcPr>
          <w:p w:rsidR="002E3202" w:rsidRDefault="00391FE7">
            <w:pPr>
              <w:pStyle w:val="CellColumn"/>
              <w:jc w:val="left"/>
            </w:pPr>
            <w:r>
              <w:rPr>
                <w:rFonts w:cs="Times New Roman"/>
              </w:rPr>
              <w:t xml:space="preserve">Za potrebe obavljanja obrazovanja učenika, srednjoškolska pomorska učilišta u vlasništvu područne (regionalne) samouprave opremit će se obveznom opremom (npr. simulatorima) u skladu sa odredbama STCW Konvencije </w:t>
            </w:r>
          </w:p>
          <w:p w:rsidR="002E3202" w:rsidRDefault="00391FE7">
            <w:pPr>
              <w:pStyle w:val="CellColumn"/>
              <w:jc w:val="left"/>
            </w:pPr>
            <w:r>
              <w:rPr>
                <w:rFonts w:cs="Times New Roman"/>
              </w:rPr>
              <w:t>Za potrebe obavljanja obrazovanja učenika u dijelu unutarnje plovidbe, brodarske škole u vlasništvu područne (regionalne) samouprave opremit će se obveznom opremom (npr. simulatorima) u skladu sa standardima koji proizlaze iz pravne stečevine EU</w:t>
            </w:r>
          </w:p>
        </w:tc>
        <w:tc>
          <w:tcPr>
            <w:tcW w:w="918" w:type="dxa"/>
          </w:tcPr>
          <w:p w:rsidR="002E3202" w:rsidRDefault="00391FE7">
            <w:pPr>
              <w:jc w:val="center"/>
            </w:pPr>
            <w:r>
              <w:t>%</w:t>
            </w:r>
          </w:p>
        </w:tc>
        <w:tc>
          <w:tcPr>
            <w:tcW w:w="918" w:type="dxa"/>
          </w:tcPr>
          <w:p w:rsidR="002E3202" w:rsidRDefault="00391FE7">
            <w:pPr>
              <w:jc w:val="center"/>
            </w:pPr>
            <w:r>
              <w:t>40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50</w:t>
            </w:r>
          </w:p>
        </w:tc>
        <w:tc>
          <w:tcPr>
            <w:tcW w:w="918" w:type="dxa"/>
          </w:tcPr>
          <w:p w:rsidR="002E3202" w:rsidRDefault="00391FE7">
            <w:pPr>
              <w:jc w:val="center"/>
            </w:pPr>
            <w:r>
              <w:t>55</w:t>
            </w:r>
          </w:p>
        </w:tc>
        <w:tc>
          <w:tcPr>
            <w:tcW w:w="918" w:type="dxa"/>
          </w:tcPr>
          <w:p w:rsidR="002E3202" w:rsidRDefault="00391FE7">
            <w:pPr>
              <w:jc w:val="center"/>
            </w:pPr>
            <w:r>
              <w:t>60</w:t>
            </w:r>
          </w:p>
        </w:tc>
      </w:tr>
    </w:tbl>
    <w:p w:rsidR="002E3202" w:rsidRDefault="002E3202">
      <w:pPr>
        <w:jc w:val="left"/>
      </w:pPr>
    </w:p>
    <w:p w:rsidR="002E3202" w:rsidRDefault="00391FE7">
      <w:pPr>
        <w:pStyle w:val="Heading4"/>
      </w:pPr>
      <w:r>
        <w:t>A754063 ODRŽAVANJE MREŽE PLOVILA-ČISTAČA ZA DJELOVANJE KOD IZNENADNIH ONEČIŠĆENJA MORA</w:t>
      </w:r>
    </w:p>
    <w:p w:rsidR="002E3202" w:rsidRDefault="00391FE7">
      <w:pPr>
        <w:pStyle w:val="Heading8"/>
        <w:jc w:val="left"/>
      </w:pPr>
      <w:r>
        <w:t>Zakonske i druge pravne osnove</w:t>
      </w:r>
    </w:p>
    <w:p w:rsidR="002E3202" w:rsidRDefault="00391FE7">
      <w:r>
        <w:t xml:space="preserve">- Pomorski zakonik, članak 49.h, članak 55.f i članak 55.h </w:t>
      </w:r>
    </w:p>
    <w:p w:rsidR="002E3202" w:rsidRDefault="00391FE7">
      <w:r>
        <w:t xml:space="preserve">- Plan intervencija kod iznenadnih onečišćenja mora, točke: 31., 35., 40. i 108. </w:t>
      </w:r>
    </w:p>
    <w:p w:rsidR="002E3202" w:rsidRDefault="00391FE7">
      <w:r>
        <w:t>- Odluka Vlade RH o sufinanciranju održavanja mreže plovila čistača mora za djelovanje kod iznenadnih onečišćenja mora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A754063</w:t>
            </w:r>
          </w:p>
        </w:tc>
        <w:tc>
          <w:tcPr>
            <w:tcW w:w="1632" w:type="dxa"/>
            <w:vAlign w:val="top"/>
          </w:tcPr>
          <w:p w:rsidR="002E3202" w:rsidRDefault="00391FE7">
            <w:pPr>
              <w:jc w:val="right"/>
            </w:pPr>
            <w:r>
              <w:t>305.262</w:t>
            </w:r>
          </w:p>
        </w:tc>
        <w:tc>
          <w:tcPr>
            <w:tcW w:w="1632" w:type="dxa"/>
            <w:vAlign w:val="top"/>
          </w:tcPr>
          <w:p w:rsidR="002E3202" w:rsidRDefault="00391FE7">
            <w:pPr>
              <w:jc w:val="right"/>
            </w:pPr>
            <w:r>
              <w:t>305.262</w:t>
            </w:r>
          </w:p>
        </w:tc>
        <w:tc>
          <w:tcPr>
            <w:tcW w:w="1632" w:type="dxa"/>
            <w:vAlign w:val="top"/>
          </w:tcPr>
          <w:p w:rsidR="002E3202" w:rsidRDefault="00391FE7">
            <w:pPr>
              <w:jc w:val="right"/>
            </w:pPr>
            <w:r>
              <w:t>305.262</w:t>
            </w:r>
          </w:p>
        </w:tc>
        <w:tc>
          <w:tcPr>
            <w:tcW w:w="1632" w:type="dxa"/>
            <w:vAlign w:val="top"/>
          </w:tcPr>
          <w:p w:rsidR="002E3202" w:rsidRDefault="00391FE7">
            <w:pPr>
              <w:jc w:val="right"/>
            </w:pPr>
            <w:r>
              <w:t>305.262</w:t>
            </w:r>
          </w:p>
        </w:tc>
        <w:tc>
          <w:tcPr>
            <w:tcW w:w="1632" w:type="dxa"/>
            <w:vAlign w:val="top"/>
          </w:tcPr>
          <w:p w:rsidR="002E3202" w:rsidRDefault="00391FE7">
            <w:pPr>
              <w:jc w:val="right"/>
            </w:pPr>
            <w:r>
              <w:t>305.262</w:t>
            </w:r>
          </w:p>
        </w:tc>
        <w:tc>
          <w:tcPr>
            <w:tcW w:w="510" w:type="dxa"/>
            <w:vAlign w:val="top"/>
          </w:tcPr>
          <w:p w:rsidR="002E3202" w:rsidRDefault="00391FE7">
            <w:pPr>
              <w:jc w:val="right"/>
            </w:pPr>
            <w:r>
              <w:t>100,0</w:t>
            </w:r>
          </w:p>
        </w:tc>
      </w:tr>
    </w:tbl>
    <w:p w:rsidR="002E3202" w:rsidRDefault="002E3202">
      <w:pPr>
        <w:jc w:val="left"/>
      </w:pPr>
    </w:p>
    <w:p w:rsidR="002E3202" w:rsidRDefault="00391FE7">
      <w:r>
        <w:t xml:space="preserve">Sredstva za izvršenje aktivnosti namijenjena su za sufinanciranje održavanja mreže plovila čistača mora raspoređenih duž Jadranske obale kao preduvjeta učinkovite zaštite morskog okoliša i obalnog područja od iznenadnih onečišćenja mora s pomorskih objekata, odnosno za provedbu mjera za smanjenje šteta u morskom okolišu i obalnom području, zaštitu ljudskog zdravlja, te sprječavanje ometanje pomorske djelatnosti i drugih zakonitih uporaba mora i podmorja u slučajevima iznenadnih onečišćenja mora s pomorskih objekata. </w:t>
      </w:r>
    </w:p>
    <w:p w:rsidR="002E3202" w:rsidRDefault="00391FE7">
      <w:r>
        <w:t xml:space="preserve">Odlukom Vlade Republike Hrvatske KLASA: 022-03/19-04/133; URBROJ: 50301-27/25-13-3 od 18. travnja 2019. godine o sufinanciranju održavanja mreže plovila čistača mora za djelovanje kod iznenadnih onečišćenja mora, Vlada Republike Hrvatske se obvezala sufinancirati troškove održavanja mreže od ukupno 10 plovila čistača mora, raspoređenih duž hrvatske obale u iznosu od 30.526 eura po plovilu čistaču mora godišnje, odnosno ukupno 305.262 eura godišnje za cijelu mrežu plovila. </w:t>
      </w:r>
    </w:p>
    <w:p w:rsidR="002E3202" w:rsidRDefault="00391FE7">
      <w:r>
        <w:t xml:space="preserve">Mreža plovila čistača mora sastoji se od 5 plovila tipa ECO-13, koje je Ministarstvo zaštite okoliša, prostornog uređenja i graditeljstva temeljem Odluke Vlade Republike Hrvatske KLASA: 342,01/07-01/03; URBROJ: 5030114¬07-1 od 15. lipnja 2007. godine predalo u vlasništvo Dubrovačko-neretvanske, Šibensko-kninske, Zadarske i Ličko- senjske, Primorsko-goranske te Splitsko-dalmatinske županije. Preostalih 5 plovila čistača mora su u naravi komercijalna specijalizirana plovila, čiju uslugu rada (čišćenja mora) županije ugovaraju u postupku javne nabave, a sufinanciraju se prema raspodjeli: u Istarskoj županiji održavanje 1 plovila, u Primorsko-goranskoj županiji 2 plovila, u Splitsko-dalmatinskoj 1 plovila, te u Dubrovačko-neretvanskoj županiji 1 plovila. </w:t>
      </w:r>
    </w:p>
    <w:p w:rsidR="002E3202" w:rsidRDefault="00391FE7">
      <w:r>
        <w:t xml:space="preserve">Navedenom Odlukom utvrđeno je da se navedena financijska sredstva od 2019. godine osiguravaju na razdjelu Ministarstva mora, prometa i infrastrukture. Temeljem iste Odluke Ministarstvo mora, prometa i infrastrukture sklopilo je s priobalnim županijama odgovarajuće ugovore koji je uređeno sufinanciranje plovila čistača mora, s ciljem osiguranja stalne pripravnosti brodova i brodica čistača mora za slučaj potrebe reagiranja po Planu intervencija kod iznenadnih onečišćenja mora na području unutarnjih morskih voda i teritorijalnog mora.  </w:t>
      </w:r>
    </w:p>
    <w:p w:rsidR="002E3202" w:rsidRDefault="00391FE7">
      <w:r>
        <w:t>Temeljem navedenog, Ministarstvo mora, prometa i infrastrukture izvršava isplate financijskih sredstava svim priobalnim županijama na koje se odnosi predmetna Odluka Vlade Republike Hrvatske, i to u iznosu od 30.526 eura po plovilu čistaču mora, odnosno u ukupnom iznosu od 305.262 eura/godišnje za cijelu mrežu plovila čistača mora.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Pravodobno reagiranje na iznenadna onečišćenja mora s pomorskih objekata te ograničavanje šteta u morskom okolišu i gospodarstvu, radi dostupnosti specijaliziranih plovila (brodova ili brodica) za provedbu mjera suzbijanja onečišćenja mora</w:t>
            </w:r>
          </w:p>
        </w:tc>
        <w:tc>
          <w:tcPr>
            <w:tcW w:w="2245" w:type="dxa"/>
            <w:vAlign w:val="top"/>
          </w:tcPr>
          <w:p w:rsidR="002E3202" w:rsidRDefault="00391FE7">
            <w:pPr>
              <w:pStyle w:val="CellColumn"/>
              <w:jc w:val="left"/>
            </w:pPr>
            <w:r>
              <w:rPr>
                <w:rFonts w:cs="Times New Roman"/>
              </w:rPr>
              <w:t>Ugovaranje korištenja deset (10) specijaliziranih brodova i brodica čistača mora s posadom i opremom za suzbijanje onečišćenja mora, radi provedbe Plana intervencija kod iznenadnih onečišćenja mora</w:t>
            </w:r>
          </w:p>
        </w:tc>
        <w:tc>
          <w:tcPr>
            <w:tcW w:w="918" w:type="dxa"/>
          </w:tcPr>
          <w:p w:rsidR="002E3202" w:rsidRDefault="00391FE7">
            <w:pPr>
              <w:jc w:val="center"/>
            </w:pPr>
            <w:r>
              <w:t>broj</w:t>
            </w:r>
          </w:p>
        </w:tc>
        <w:tc>
          <w:tcPr>
            <w:tcW w:w="918" w:type="dxa"/>
          </w:tcPr>
          <w:p w:rsidR="002E3202" w:rsidRDefault="00391FE7">
            <w:pPr>
              <w:jc w:val="center"/>
            </w:pPr>
            <w:r>
              <w:t>10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w:t>
            </w:r>
          </w:p>
        </w:tc>
        <w:tc>
          <w:tcPr>
            <w:tcW w:w="918" w:type="dxa"/>
          </w:tcPr>
          <w:p w:rsidR="002E3202" w:rsidRDefault="00391FE7">
            <w:pPr>
              <w:jc w:val="center"/>
            </w:pPr>
            <w:r>
              <w:t>10</w:t>
            </w:r>
          </w:p>
        </w:tc>
        <w:tc>
          <w:tcPr>
            <w:tcW w:w="918" w:type="dxa"/>
          </w:tcPr>
          <w:p w:rsidR="002E3202" w:rsidRDefault="00391FE7">
            <w:pPr>
              <w:jc w:val="center"/>
            </w:pPr>
            <w:r>
              <w:t>10</w:t>
            </w:r>
          </w:p>
        </w:tc>
      </w:tr>
    </w:tbl>
    <w:p w:rsidR="002E3202" w:rsidRDefault="002E3202">
      <w:pPr>
        <w:jc w:val="left"/>
      </w:pPr>
    </w:p>
    <w:p w:rsidR="002E3202" w:rsidRDefault="00391FE7">
      <w:pPr>
        <w:pStyle w:val="Heading4"/>
      </w:pPr>
      <w:r>
        <w:t>A754065 UKLANJANJE PODRTINA I POTONULIH STVARI</w:t>
      </w:r>
    </w:p>
    <w:p w:rsidR="002E3202" w:rsidRDefault="00391FE7">
      <w:pPr>
        <w:pStyle w:val="Heading8"/>
        <w:jc w:val="left"/>
      </w:pPr>
      <w:r>
        <w:t>Zakonske i druge pravne osnove</w:t>
      </w:r>
    </w:p>
    <w:p w:rsidR="002E3202" w:rsidRDefault="00391FE7">
      <w:r>
        <w:t xml:space="preserve">- Pomorski zakonik, članak 840. n i 840. s </w:t>
      </w:r>
    </w:p>
    <w:p w:rsidR="002E3202" w:rsidRDefault="00391FE7">
      <w:r>
        <w:t>- Plan intervencija kod iznenadnih onečišćenja mora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A754065</w:t>
            </w:r>
          </w:p>
        </w:tc>
        <w:tc>
          <w:tcPr>
            <w:tcW w:w="1632" w:type="dxa"/>
            <w:vAlign w:val="top"/>
          </w:tcPr>
          <w:p w:rsidR="002E3202" w:rsidRDefault="00391FE7">
            <w:pPr>
              <w:jc w:val="right"/>
            </w:pPr>
            <w:r>
              <w:t>00</w:t>
            </w:r>
          </w:p>
        </w:tc>
        <w:tc>
          <w:tcPr>
            <w:tcW w:w="1632" w:type="dxa"/>
            <w:vAlign w:val="top"/>
          </w:tcPr>
          <w:p w:rsidR="002E3202" w:rsidRDefault="00391FE7">
            <w:pPr>
              <w:jc w:val="right"/>
            </w:pPr>
            <w:r>
              <w:t>58.251</w:t>
            </w:r>
          </w:p>
        </w:tc>
        <w:tc>
          <w:tcPr>
            <w:tcW w:w="1632" w:type="dxa"/>
            <w:vAlign w:val="top"/>
          </w:tcPr>
          <w:p w:rsidR="002E3202" w:rsidRDefault="00391FE7">
            <w:pPr>
              <w:jc w:val="right"/>
            </w:pPr>
            <w:r>
              <w:t>66.361</w:t>
            </w:r>
          </w:p>
        </w:tc>
        <w:tc>
          <w:tcPr>
            <w:tcW w:w="1632" w:type="dxa"/>
            <w:vAlign w:val="top"/>
          </w:tcPr>
          <w:p w:rsidR="002E3202" w:rsidRDefault="00391FE7">
            <w:pPr>
              <w:jc w:val="right"/>
            </w:pPr>
            <w:r>
              <w:t>66.361</w:t>
            </w:r>
          </w:p>
        </w:tc>
        <w:tc>
          <w:tcPr>
            <w:tcW w:w="1632" w:type="dxa"/>
            <w:vAlign w:val="top"/>
          </w:tcPr>
          <w:p w:rsidR="002E3202" w:rsidRDefault="00391FE7">
            <w:pPr>
              <w:jc w:val="right"/>
            </w:pPr>
            <w:r>
              <w:t>66.361</w:t>
            </w:r>
          </w:p>
        </w:tc>
        <w:tc>
          <w:tcPr>
            <w:tcW w:w="510" w:type="dxa"/>
            <w:vAlign w:val="top"/>
          </w:tcPr>
          <w:p w:rsidR="002E3202" w:rsidRDefault="00391FE7">
            <w:pPr>
              <w:jc w:val="right"/>
            </w:pPr>
            <w:r>
              <w:t>113,9</w:t>
            </w:r>
          </w:p>
        </w:tc>
      </w:tr>
    </w:tbl>
    <w:p w:rsidR="002E3202" w:rsidRDefault="002E3202">
      <w:pPr>
        <w:jc w:val="left"/>
      </w:pPr>
    </w:p>
    <w:p w:rsidR="002E3202" w:rsidRDefault="00391FE7">
      <w:r>
        <w:t xml:space="preserve">Sredstva za provedu ove aktivnosti namijenjena su financiranju vađenja podrtina i potonulih stvari koje se nalaze u teritorijalnom moru i unutarnjim morskim vodama, te za uklanjanje podrtina i potonulih stvari koje se nalaze u teritorijalnom moru, unutarnjim morskim vodama, te na području isključivog gospodarskog pojasa Republike Hrvatske i epikontinentalnog pojasa Republike Hrvatske. </w:t>
      </w:r>
    </w:p>
    <w:p w:rsidR="002E3202" w:rsidRDefault="00391FE7">
      <w:r>
        <w:t>Podrtine i potonule stvari predstavljaju izravnu prijetnju sigurnosti plovidbe, te su ujedno i mogući izvor onečišćenja morskog okoliša i priobalnog područja, koja mogu imati dalekosežne posljedice za sigurnost i zdravlje ljudi te morski okoliš.</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provedenih inspekcijskih rješenja o uklanjanju podrtina i potonulih stvari koje predstavljaju zapreku i ugrozu za sigurnost plovidbe</w:t>
            </w:r>
          </w:p>
        </w:tc>
        <w:tc>
          <w:tcPr>
            <w:tcW w:w="2245" w:type="dxa"/>
            <w:vAlign w:val="top"/>
          </w:tcPr>
          <w:p w:rsidR="002E3202" w:rsidRDefault="00391FE7">
            <w:pPr>
              <w:pStyle w:val="CellColumn"/>
              <w:jc w:val="left"/>
            </w:pPr>
            <w:r>
              <w:rPr>
                <w:rFonts w:cs="Times New Roman"/>
              </w:rPr>
              <w:t>Podizanje razine sigurnosti plovidbe plovnim putevima u unutarnjim morskim vodama, teritorijalnom moru i gospodarskom pojasu Republike Hrvatske u podmorju</w:t>
            </w:r>
          </w:p>
        </w:tc>
        <w:tc>
          <w:tcPr>
            <w:tcW w:w="918" w:type="dxa"/>
          </w:tcPr>
          <w:p w:rsidR="002E3202" w:rsidRDefault="00391FE7">
            <w:pPr>
              <w:jc w:val="center"/>
            </w:pPr>
            <w:r>
              <w:t>broj</w:t>
            </w:r>
          </w:p>
        </w:tc>
        <w:tc>
          <w:tcPr>
            <w:tcW w:w="918" w:type="dxa"/>
          </w:tcPr>
          <w:p w:rsidR="002E3202" w:rsidRDefault="00391FE7">
            <w:pPr>
              <w:jc w:val="center"/>
            </w:pPr>
            <w:r>
              <w:t>1</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5</w:t>
            </w:r>
          </w:p>
        </w:tc>
        <w:tc>
          <w:tcPr>
            <w:tcW w:w="918" w:type="dxa"/>
          </w:tcPr>
          <w:p w:rsidR="002E3202" w:rsidRDefault="00391FE7">
            <w:pPr>
              <w:jc w:val="center"/>
            </w:pPr>
            <w:r>
              <w:t>5</w:t>
            </w:r>
          </w:p>
        </w:tc>
        <w:tc>
          <w:tcPr>
            <w:tcW w:w="918" w:type="dxa"/>
          </w:tcPr>
          <w:p w:rsidR="002E3202" w:rsidRDefault="00391FE7">
            <w:pPr>
              <w:jc w:val="center"/>
            </w:pPr>
            <w:r>
              <w:t>5</w:t>
            </w:r>
          </w:p>
        </w:tc>
      </w:tr>
    </w:tbl>
    <w:p w:rsidR="002E3202" w:rsidRDefault="002E3202">
      <w:pPr>
        <w:jc w:val="left"/>
      </w:pPr>
    </w:p>
    <w:p w:rsidR="002E3202" w:rsidRDefault="00391FE7">
      <w:pPr>
        <w:pStyle w:val="Heading4"/>
      </w:pPr>
      <w:r>
        <w:t>K761083 PROJEKT PRODUBLJENJA I PROŠIRENJA PLOVNOG KORIDORA U KANALU PUNTARSKA DRAGA</w:t>
      </w:r>
    </w:p>
    <w:p w:rsidR="002E3202" w:rsidRDefault="00391FE7">
      <w:pPr>
        <w:pStyle w:val="Heading8"/>
        <w:jc w:val="left"/>
      </w:pPr>
      <w:r>
        <w:t>Zakonske i druge pravne osnove</w:t>
      </w:r>
    </w:p>
    <w:p w:rsidR="002E3202" w:rsidRDefault="00391FE7">
      <w:r>
        <w:t xml:space="preserve">- Pomorski zakonik, članak 50., stavak 1. i 3.; članci 51. i 52.  </w:t>
      </w:r>
    </w:p>
    <w:p w:rsidR="002E3202" w:rsidRDefault="00391FE7">
      <w:r>
        <w:t>- Zakon o Plovputu</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K761083</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1632" w:type="dxa"/>
            <w:vAlign w:val="top"/>
          </w:tcPr>
          <w:p w:rsidR="002E3202" w:rsidRDefault="00391FE7">
            <w:pPr>
              <w:jc w:val="right"/>
            </w:pPr>
            <w:r>
              <w:t>100.000</w:t>
            </w:r>
          </w:p>
        </w:tc>
        <w:tc>
          <w:tcPr>
            <w:tcW w:w="1632" w:type="dxa"/>
            <w:vAlign w:val="top"/>
          </w:tcPr>
          <w:p w:rsidR="002E3202" w:rsidRDefault="00391FE7">
            <w:pPr>
              <w:jc w:val="right"/>
            </w:pPr>
            <w:r>
              <w:t>200.000</w:t>
            </w:r>
          </w:p>
        </w:tc>
        <w:tc>
          <w:tcPr>
            <w:tcW w:w="1632" w:type="dxa"/>
            <w:vAlign w:val="top"/>
          </w:tcPr>
          <w:p w:rsidR="002E3202" w:rsidRDefault="00391FE7">
            <w:pPr>
              <w:jc w:val="right"/>
            </w:pPr>
            <w:r>
              <w:t>400.000</w:t>
            </w:r>
          </w:p>
        </w:tc>
        <w:tc>
          <w:tcPr>
            <w:tcW w:w="510" w:type="dxa"/>
            <w:vAlign w:val="top"/>
          </w:tcPr>
          <w:p w:rsidR="002E3202" w:rsidRDefault="00391FE7">
            <w:pPr>
              <w:jc w:val="right"/>
            </w:pPr>
            <w:r>
              <w:t>0,0</w:t>
            </w:r>
          </w:p>
        </w:tc>
      </w:tr>
    </w:tbl>
    <w:p w:rsidR="002E3202" w:rsidRDefault="002E3202">
      <w:pPr>
        <w:jc w:val="left"/>
      </w:pPr>
    </w:p>
    <w:p w:rsidR="002E3202" w:rsidRDefault="00391FE7">
      <w:r>
        <w:t xml:space="preserve">Puntarska draga je prostrana, plitka uvala u sjeveroistočnom dijelu Krčkog zaljeva. Pristupačna je samo za plovila gaza do 2,50 m, u koju se uplovljava prilaznim kanalom dužine od oko 900 m. U istočnom dijelu Puntarske drage, sjeverno od luke Punat, izgrađena je marina s oko tisuću vezova. Dobra zaštićenost marine i luke Punat, te pogodnost njihove lokacije na razmeđi Kvarnera i Kvarnerića, uvjetuje izuzetnu frekventnost raznoraznih plovila, pri čemu za vrijeme turističke sezone dolazi do zagušenja kanala.  </w:t>
      </w:r>
    </w:p>
    <w:p w:rsidR="002E3202" w:rsidRDefault="00391FE7">
      <w:r>
        <w:t xml:space="preserve">Provedbom projekta produbljenja i proširenja plovnog koridora u kanalu Puntarska draga, produbiti će se i proširiti postojeći plovni koridor te izgraditi novi objekti pomorske signalizacije, čime će se omogućiti uspostava dvosmjerne plovidbe i povećati protočnost pomorskog prometa u plovnom koridoru, kao i stvoriti uvjeti za uplovljavanje plovila gaza od 3,50 m u luku Punat, marinu i brodogradilište Punat. Također, stvoriti će se i preduvjeti za bržu cirkulaciju, odnosno izmjenu mase mora, a što će posljedično doprinijeti obnavljanju flore i faune plitke i “zatvorene“ uvale Puntarske drage. Projekt produbljenja i proširenja plovnog koridora u kanalu Puntarska draga doprinijeti će ostvarenju strateških interesa Republike Hrvatska koji se odnose na razvoj pomorskog prometa određenim plovnim područjima, poticanje razvoja pomorskih luka i nautičkog turizma, poboljšavanje mobilnosti ljudi i roba, smanjivanje prometne izoliranosti otoka te uravnoteženja regionalnog razvoja. </w:t>
      </w:r>
    </w:p>
    <w:p w:rsidR="002E3202" w:rsidRDefault="00391FE7">
      <w:r>
        <w:t xml:space="preserve">Ukupna procijenjena vrijednost projekta proširenja i produbljenja plovnog koridora u kanalu Puntarska draga iznosi cca 2.000.000,00 EUR, a isti će biti realiziran u dvije faze.  </w:t>
      </w:r>
    </w:p>
    <w:p w:rsidR="002E3202" w:rsidRDefault="00391FE7">
      <w:r>
        <w:t xml:space="preserve">U prvoj fazi, odnosno u okviru realizacije Projekta produbljenja i proširenja plovnog koridora u kanalu Puntarska draga (faza I.) izvršiti će se iskop desne polovice prvog poteza od ulaza u plovni kanal do loma trase u dužini cca 465m. Za potrebe provedbe istog izraditi će se izvedbena tehnička dokumentacija s troškovnikom radova produbljenja i proširenja plovnog koridora u kanalu Puntarska draga (faza I.), provesti postupci javne nabave za izvođenje radova produbljenja i proširenja plovnog koridora u kanalu Puntarska draga (faza I.) kao i postupci javne nabave za obavljanje poslova stručnog nadzora i poslova voditelja projekta. Po zaključenju istih, odnosno ugovaranju, izvesti će se radovi produbljenja proširenja plovnog koridora u kanalu Puntarska draga (faza I.), izraditi projekt miniranja, izvesti radovi izgradnje i postavljanja pomorske signalizacije tijekom faze I. radova te radovi izgradnje i postavljanja objekata pomorske signalizacije nakon uspostave pomorskog prometa desnom stranom kanala, čime će se omogućiti nastavak faze II. radova u lijevoj strani kanala. Zaključno, u okviru faze I. izraditi će se i batimetrijska izmjera izvedenog stanja dubina, a temeljem višekratnih batimetrijskih izmjera s izradom batimetrijskih snimaka.  </w:t>
      </w:r>
    </w:p>
    <w:p w:rsidR="002E3202" w:rsidRDefault="00391FE7">
      <w:r>
        <w:t>Ukupna procijenjena vrijednost navedenih radova za realizaciju Projekta produbljenja i proširenja plovnog koridora u kanalu Puntarska draga, faza I. iznosi 911.800,00 EUR.  Kako bi projekt mogao započeti, u narednom razdoblju nužno je pristupiti sklapanju Sporazuma o koordinaciji i zajedničkom financiranju I. faze radova projekta „Produbljenje i proširenje plovnog koridora u kanalu Puntarska draga“ (u daljnjem tekstu: novi Sporazum) kojim će biti utvrđeni udjeli sufinanciranja njegove realizacije, i to kako slijedi: Ministarstvo mora, prometa i infrastrukture u iznosu od 40%; Plovput d.o.o. u iznosu od 5%; Općina Punat u iznosu od 30%; Grad Krk u iznosu od 15% te Marina Punat d.o.o. u iznosu od 10% od procijenjene vrijednosti radova.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Proširen i produbljen plovni kanal Puntarska draga</w:t>
            </w:r>
          </w:p>
        </w:tc>
        <w:tc>
          <w:tcPr>
            <w:tcW w:w="2245" w:type="dxa"/>
            <w:vAlign w:val="top"/>
          </w:tcPr>
          <w:p w:rsidR="002E3202" w:rsidRDefault="00391FE7">
            <w:pPr>
              <w:pStyle w:val="CellColumn"/>
              <w:jc w:val="left"/>
            </w:pPr>
            <w:r>
              <w:rPr>
                <w:rFonts w:cs="Times New Roman"/>
              </w:rPr>
              <w:t>Proširenjem i produbljenjem Puntarske drage podići će se razina sigurnosti plovidbe, skratiti plovidba i omogućiti dvosmjerna plovidba kanalom za sva plovila</w:t>
            </w:r>
          </w:p>
        </w:tc>
        <w:tc>
          <w:tcPr>
            <w:tcW w:w="918" w:type="dxa"/>
          </w:tcPr>
          <w:p w:rsidR="002E3202" w:rsidRDefault="00391FE7">
            <w:pPr>
              <w:jc w:val="center"/>
            </w:pPr>
            <w:r>
              <w:t>%</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w:t>
            </w:r>
          </w:p>
        </w:tc>
        <w:tc>
          <w:tcPr>
            <w:tcW w:w="918" w:type="dxa"/>
          </w:tcPr>
          <w:p w:rsidR="002E3202" w:rsidRDefault="00391FE7">
            <w:pPr>
              <w:jc w:val="center"/>
            </w:pPr>
            <w:r>
              <w:t>60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K819082 CEF 2014.-2020. - RIS COMEX 2 - PRIMJENA RIS-a U UPRAVLJANJU PROMETNIM KORIDORIMA</w:t>
      </w:r>
    </w:p>
    <w:p w:rsidR="002E3202" w:rsidRDefault="00391FE7">
      <w:pPr>
        <w:pStyle w:val="Heading8"/>
        <w:jc w:val="left"/>
      </w:pPr>
      <w:r>
        <w:t>Zakonske i druge pravne osnove</w:t>
      </w:r>
    </w:p>
    <w:p w:rsidR="002E3202" w:rsidRDefault="00391FE7">
      <w:r>
        <w:t xml:space="preserve">- Zakon o uspostavi institucionalnog okvira za provedbu europskih strukturnih i investicijskih fondova u Republici Hrvatskoj u financijskom razdoblju 2014.-2020., članak 4., stavak 2.  </w:t>
      </w:r>
    </w:p>
    <w:p w:rsidR="002E3202" w:rsidRDefault="00391FE7">
      <w:r>
        <w:t xml:space="preserve">- Zakon o plovidbi i lukama unutarnjih voda, članak 113., stavak 2. i članak 172.  </w:t>
      </w:r>
    </w:p>
    <w:p w:rsidR="002E3202" w:rsidRDefault="00391FE7">
      <w:r>
        <w:t xml:space="preserve">- Pravilnik o riječnim informacijskim servisima u unutarnjoj plovidbi  </w:t>
      </w:r>
    </w:p>
    <w:p w:rsidR="002E3202" w:rsidRDefault="00391FE7">
      <w:r>
        <w:t>- Direktiva 2005/44/EZ (RIS direktiva).</w:t>
      </w:r>
    </w:p>
    <w:tbl>
      <w:tblPr>
        <w:tblStyle w:val="StilTablice"/>
        <w:tblW w:w="10206" w:type="dxa"/>
        <w:jc w:val="center"/>
        <w:tblLook w:val="04A0" w:firstRow="1" w:lastRow="0" w:firstColumn="1" w:lastColumn="0" w:noHBand="0" w:noVBand="1"/>
      </w:tblPr>
      <w:tblGrid>
        <w:gridCol w:w="1472"/>
        <w:gridCol w:w="1558"/>
        <w:gridCol w:w="1541"/>
        <w:gridCol w:w="1550"/>
        <w:gridCol w:w="1565"/>
        <w:gridCol w:w="155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K819082</w:t>
            </w:r>
          </w:p>
        </w:tc>
        <w:tc>
          <w:tcPr>
            <w:tcW w:w="1632" w:type="dxa"/>
            <w:vAlign w:val="top"/>
          </w:tcPr>
          <w:p w:rsidR="002E3202" w:rsidRDefault="00391FE7">
            <w:pPr>
              <w:jc w:val="right"/>
            </w:pPr>
            <w:r>
              <w:t>00</w:t>
            </w:r>
          </w:p>
        </w:tc>
        <w:tc>
          <w:tcPr>
            <w:tcW w:w="1632" w:type="dxa"/>
            <w:vAlign w:val="top"/>
          </w:tcPr>
          <w:p w:rsidR="002E3202" w:rsidRDefault="00391FE7">
            <w:pPr>
              <w:jc w:val="right"/>
            </w:pPr>
            <w:r>
              <w:t>19.720</w:t>
            </w:r>
          </w:p>
        </w:tc>
        <w:tc>
          <w:tcPr>
            <w:tcW w:w="1632" w:type="dxa"/>
            <w:vAlign w:val="top"/>
          </w:tcPr>
          <w:p w:rsidR="002E3202" w:rsidRDefault="00391FE7">
            <w:pPr>
              <w:jc w:val="right"/>
            </w:pPr>
            <w:r>
              <w:t>806.750</w:t>
            </w:r>
          </w:p>
        </w:tc>
        <w:tc>
          <w:tcPr>
            <w:tcW w:w="1632" w:type="dxa"/>
            <w:vAlign w:val="top"/>
          </w:tcPr>
          <w:p w:rsidR="002E3202" w:rsidRDefault="00391FE7">
            <w:pPr>
              <w:jc w:val="right"/>
            </w:pPr>
            <w:r>
              <w:t>1.079.750</w:t>
            </w:r>
          </w:p>
        </w:tc>
        <w:tc>
          <w:tcPr>
            <w:tcW w:w="1632" w:type="dxa"/>
            <w:vAlign w:val="top"/>
          </w:tcPr>
          <w:p w:rsidR="002E3202" w:rsidRDefault="00391FE7">
            <w:pPr>
              <w:jc w:val="right"/>
            </w:pPr>
            <w:r>
              <w:t>798.500</w:t>
            </w:r>
          </w:p>
        </w:tc>
        <w:tc>
          <w:tcPr>
            <w:tcW w:w="510" w:type="dxa"/>
            <w:vAlign w:val="top"/>
          </w:tcPr>
          <w:p w:rsidR="002E3202" w:rsidRDefault="00391FE7">
            <w:pPr>
              <w:jc w:val="right"/>
            </w:pPr>
            <w:r>
              <w:t>4091,0</w:t>
            </w:r>
          </w:p>
        </w:tc>
      </w:tr>
    </w:tbl>
    <w:p w:rsidR="002E3202" w:rsidRDefault="002E3202">
      <w:pPr>
        <w:jc w:val="left"/>
      </w:pPr>
    </w:p>
    <w:p w:rsidR="002E3202" w:rsidRDefault="00391FE7">
      <w:r>
        <w:t xml:space="preserve">RIS COMEX 2 je višekorisnički projekt u kojem je Ministarstvo mora, prometa i infrastrukture u ime RH jedan od 15 projektnih partnera pod koordinacijom Austrijske vodne uprave Viadonau sa zajedničkim ciljem ostvarivanja funkcionalnosti usluga na definiranim RIS koridorima. </w:t>
      </w:r>
    </w:p>
    <w:p w:rsidR="002E3202" w:rsidRDefault="00391FE7">
      <w:r>
        <w:t xml:space="preserve"> </w:t>
      </w:r>
    </w:p>
    <w:p w:rsidR="002E3202" w:rsidRDefault="00391FE7">
      <w:r>
        <w:t xml:space="preserve">Ukupna vrijednost projekta svih dionika je 38.935.240 Eura, a Hrvatska komponenta iznosi 2.200.000 Eura. </w:t>
      </w:r>
    </w:p>
    <w:p w:rsidR="002E3202" w:rsidRDefault="00391FE7">
      <w:r>
        <w:t xml:space="preserve"> </w:t>
      </w:r>
    </w:p>
    <w:p w:rsidR="002E3202" w:rsidRDefault="00391FE7">
      <w:r>
        <w:t xml:space="preserve">Aktivnosti koje su predviđene tijekom provedbe projekta odnose se na; </w:t>
      </w:r>
    </w:p>
    <w:p w:rsidR="002E3202" w:rsidRDefault="00391FE7">
      <w:r>
        <w:t xml:space="preserve">- primjenu jedinstvenog aplikacijskog sučelja prema CEERIS i EuRIS bazama podataka kojim će uz izravan pristup javnim i privatnim korisnicima biti omogućeno korištenje svih razina RIS usluga na jednom mjestu,  </w:t>
      </w:r>
    </w:p>
    <w:p w:rsidR="002E3202" w:rsidRDefault="00391FE7">
      <w:r>
        <w:t xml:space="preserve">- nadogradnju nacionale WEB AIS aplikacije novim korisničkim mogućnostima koje se odnose na prometnu signalizaciju (AtoN), omogućavanje samostalnog uređivanja navigacijskih karata (ENC), prikaz dubina u realnom vremenu, prikaz visina ispod mostova u realnom vremenu te ažuriranje baze kodova za objekte na unutarnjim vodnim putovima (RIS index). </w:t>
      </w:r>
    </w:p>
    <w:p w:rsidR="002E3202" w:rsidRDefault="00391FE7">
      <w:r>
        <w:t xml:space="preserve">- Obnova RIS infrastrukture kojom će biti omogućena bolja stabilnost i pouzdanost sustava, </w:t>
      </w:r>
    </w:p>
    <w:p w:rsidR="002E3202" w:rsidRDefault="00391FE7">
      <w:r>
        <w:t xml:space="preserve">- Nabava korisničkih radnih stanica za potrebe regionalnih RIS centara. </w:t>
      </w:r>
    </w:p>
    <w:p w:rsidR="002E3202" w:rsidRDefault="00391FE7">
      <w:r>
        <w:t xml:space="preserve"> </w:t>
      </w:r>
    </w:p>
    <w:p w:rsidR="002E3202" w:rsidRDefault="00391FE7">
      <w:r>
        <w:t xml:space="preserve">Specifični ciljevi projekta: </w:t>
      </w:r>
    </w:p>
    <w:p w:rsidR="002E3202" w:rsidRDefault="00391FE7">
      <w:r>
        <w:t xml:space="preserve">- Bolje planiranje prijevoza unutarnjim plovnim putovima (povećana pouzdanost) </w:t>
      </w:r>
    </w:p>
    <w:p w:rsidR="002E3202" w:rsidRDefault="00391FE7">
      <w:r>
        <w:t xml:space="preserve">- Smanjenje vremena čekanja i putovanja </w:t>
      </w:r>
    </w:p>
    <w:p w:rsidR="002E3202" w:rsidRDefault="00391FE7">
      <w:r>
        <w:t xml:space="preserve">- Povećanje učinkovitosti u prometu unutarnjim plovnim putovima </w:t>
      </w:r>
    </w:p>
    <w:p w:rsidR="002E3202" w:rsidRDefault="00391FE7">
      <w:r>
        <w:t xml:space="preserve">- Optimalna uporaba infrastrukture (povećana iskoristivost kapaciteta) </w:t>
      </w:r>
    </w:p>
    <w:p w:rsidR="002E3202" w:rsidRDefault="00391FE7">
      <w:r>
        <w:t xml:space="preserve">- Smanjenje administrativnih prepreka </w:t>
      </w:r>
    </w:p>
    <w:p w:rsidR="002E3202" w:rsidRDefault="00391FE7">
      <w:r>
        <w:t xml:space="preserve">- Obnovljena RIS infrastrukture na području RH </w:t>
      </w:r>
    </w:p>
    <w:p w:rsidR="002E3202" w:rsidRDefault="00391FE7">
      <w:r>
        <w:t xml:space="preserve">- Puštanje u rad korisničkih radnih stanica za potrebe regionalnih RIS centara </w:t>
      </w:r>
    </w:p>
    <w:p w:rsidR="002E3202" w:rsidRDefault="00391FE7">
      <w:r>
        <w:t>- Uspostava cjelovitog govornog VHF-a na unutarnjim vodnim putovima u RH</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Stupanj implementacije rezultata RIS-a</w:t>
            </w:r>
          </w:p>
        </w:tc>
        <w:tc>
          <w:tcPr>
            <w:tcW w:w="2245" w:type="dxa"/>
            <w:vAlign w:val="top"/>
          </w:tcPr>
          <w:p w:rsidR="002E3202" w:rsidRDefault="00391FE7">
            <w:pPr>
              <w:pStyle w:val="CellColumn"/>
              <w:jc w:val="left"/>
            </w:pPr>
            <w:r>
              <w:rPr>
                <w:rFonts w:cs="Times New Roman"/>
              </w:rPr>
              <w:t>Međunarodna implementacija i uporaba RIS-a na ključnim prometnim koridorima unutarnje plovidbe</w:t>
            </w:r>
          </w:p>
        </w:tc>
        <w:tc>
          <w:tcPr>
            <w:tcW w:w="918" w:type="dxa"/>
          </w:tcPr>
          <w:p w:rsidR="002E3202" w:rsidRDefault="00391FE7">
            <w:pPr>
              <w:jc w:val="center"/>
            </w:pPr>
            <w:r>
              <w:t>%</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25</w:t>
            </w:r>
          </w:p>
        </w:tc>
        <w:tc>
          <w:tcPr>
            <w:tcW w:w="918" w:type="dxa"/>
          </w:tcPr>
          <w:p w:rsidR="002E3202" w:rsidRDefault="00391FE7">
            <w:pPr>
              <w:jc w:val="center"/>
            </w:pPr>
            <w:r>
              <w:t>50</w:t>
            </w:r>
          </w:p>
        </w:tc>
        <w:tc>
          <w:tcPr>
            <w:tcW w:w="918" w:type="dxa"/>
          </w:tcPr>
          <w:p w:rsidR="002E3202" w:rsidRDefault="00391FE7">
            <w:pPr>
              <w:jc w:val="center"/>
            </w:pPr>
            <w:r>
              <w:t>75</w:t>
            </w:r>
          </w:p>
        </w:tc>
      </w:tr>
    </w:tbl>
    <w:p w:rsidR="002E3202" w:rsidRDefault="002E3202">
      <w:pPr>
        <w:jc w:val="left"/>
      </w:pPr>
    </w:p>
    <w:p w:rsidR="002E3202" w:rsidRDefault="00391FE7">
      <w:pPr>
        <w:pStyle w:val="Heading4"/>
      </w:pPr>
      <w:r>
        <w:t>K819083 KIBERNETIČKA SIGURNOST U HRVATSKOM POMORSKOM PROMETU- CYSCROMS</w:t>
      </w:r>
    </w:p>
    <w:p w:rsidR="002E3202" w:rsidRDefault="00391FE7">
      <w:pPr>
        <w:pStyle w:val="Heading8"/>
        <w:jc w:val="left"/>
      </w:pPr>
      <w:r>
        <w:t>Zakonske i druge pravne osnove</w:t>
      </w:r>
    </w:p>
    <w:p w:rsidR="002E3202" w:rsidRDefault="00391FE7">
      <w:r>
        <w:t xml:space="preserve">- Direktiva (EU) 2016/1148 Europskog parlamenta i Vijeća od 6. srpnja 2016. o mjerama za visoku zajedničku razinu sigurnosti mrežnih i informacijskih sustava širom Unije (Direktiva NIS) </w:t>
      </w:r>
    </w:p>
    <w:p w:rsidR="002E3202" w:rsidRDefault="00391FE7">
      <w:r>
        <w:t xml:space="preserve">- Direktiva (EU) 2022/2555 Europskog parlamenta i Vijeća od 14. prosinca 2022. o mjerama za visoku zajedničku razinu kibernetičke sigurnosti širom Unije, izmjeni Uredbe (EU) br. 910/2014 i Direktive (EU) 2018/1972 i stavljanju izvan snage Direktive (EU) 2016/1148 (Direktiva NIS 2) </w:t>
      </w:r>
    </w:p>
    <w:p w:rsidR="002E3202" w:rsidRDefault="00391FE7">
      <w:r>
        <w:t xml:space="preserve">- Zakon o kibernetičkoj sigurnosti operatora ključnih usluga i davatelja digitalnih usluga </w:t>
      </w:r>
    </w:p>
    <w:p w:rsidR="002E3202" w:rsidRDefault="00391FE7">
      <w:r>
        <w:t>- Uredba o kibernetičkoj sigurnosti operatora ključnih usluga i davatelja digitalnih usluga</w:t>
      </w:r>
    </w:p>
    <w:tbl>
      <w:tblPr>
        <w:tblStyle w:val="StilTablice"/>
        <w:tblW w:w="10206" w:type="dxa"/>
        <w:jc w:val="center"/>
        <w:tblLook w:val="04A0" w:firstRow="1" w:lastRow="0" w:firstColumn="1" w:lastColumn="0" w:noHBand="0" w:noVBand="1"/>
      </w:tblPr>
      <w:tblGrid>
        <w:gridCol w:w="1472"/>
        <w:gridCol w:w="1558"/>
        <w:gridCol w:w="1541"/>
        <w:gridCol w:w="1565"/>
        <w:gridCol w:w="1550"/>
        <w:gridCol w:w="155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K819083</w:t>
            </w:r>
          </w:p>
        </w:tc>
        <w:tc>
          <w:tcPr>
            <w:tcW w:w="1632" w:type="dxa"/>
            <w:vAlign w:val="top"/>
          </w:tcPr>
          <w:p w:rsidR="002E3202" w:rsidRDefault="00391FE7">
            <w:pPr>
              <w:jc w:val="right"/>
            </w:pPr>
            <w:r>
              <w:t>00</w:t>
            </w:r>
          </w:p>
        </w:tc>
        <w:tc>
          <w:tcPr>
            <w:tcW w:w="1632" w:type="dxa"/>
            <w:vAlign w:val="top"/>
          </w:tcPr>
          <w:p w:rsidR="002E3202" w:rsidRDefault="00391FE7">
            <w:pPr>
              <w:jc w:val="right"/>
            </w:pPr>
            <w:r>
              <w:t>17.350</w:t>
            </w:r>
          </w:p>
        </w:tc>
        <w:tc>
          <w:tcPr>
            <w:tcW w:w="1632" w:type="dxa"/>
            <w:vAlign w:val="top"/>
          </w:tcPr>
          <w:p w:rsidR="002E3202" w:rsidRDefault="00391FE7">
            <w:pPr>
              <w:jc w:val="right"/>
            </w:pPr>
            <w:r>
              <w:t>1.511.268</w:t>
            </w:r>
          </w:p>
        </w:tc>
        <w:tc>
          <w:tcPr>
            <w:tcW w:w="1632" w:type="dxa"/>
            <w:vAlign w:val="top"/>
          </w:tcPr>
          <w:p w:rsidR="002E3202" w:rsidRDefault="00391FE7">
            <w:pPr>
              <w:jc w:val="right"/>
            </w:pPr>
            <w:r>
              <w:t>261.350</w:t>
            </w:r>
          </w:p>
        </w:tc>
        <w:tc>
          <w:tcPr>
            <w:tcW w:w="1632" w:type="dxa"/>
            <w:vAlign w:val="top"/>
          </w:tcPr>
          <w:p w:rsidR="002E3202" w:rsidRDefault="00391FE7">
            <w:pPr>
              <w:jc w:val="right"/>
            </w:pPr>
            <w:r>
              <w:t>735.000</w:t>
            </w:r>
          </w:p>
        </w:tc>
        <w:tc>
          <w:tcPr>
            <w:tcW w:w="510" w:type="dxa"/>
            <w:vAlign w:val="top"/>
          </w:tcPr>
          <w:p w:rsidR="002E3202" w:rsidRDefault="00391FE7">
            <w:pPr>
              <w:jc w:val="right"/>
            </w:pPr>
            <w:r>
              <w:t>8710,5</w:t>
            </w:r>
          </w:p>
        </w:tc>
      </w:tr>
    </w:tbl>
    <w:p w:rsidR="002E3202" w:rsidRDefault="002E3202">
      <w:pPr>
        <w:jc w:val="left"/>
      </w:pPr>
    </w:p>
    <w:p w:rsidR="002E3202" w:rsidRDefault="00391FE7">
      <w:r>
        <w:t xml:space="preserve">Ministarstvo mora, prometa i infrastrukture prepoznalo je potrebu za podizanjem razine kibernetičke sigurnosti u pomorskom prometu te je zajedno s operatorima ključnih usluga prema zakonu kojim se uređuje kibernetička sigurnost: lučkim upravama Zadar, Split, Ploče i Dubrovnik, te Jadrolinijom i Plovputom; odlučilo osnovati konzorcij s ciljem provedbe Projekta CYSCROMS - Cyber Safety in Croatian maritime Transport Sector, temeljem poziva DIGITAL-ECCC-2022-CYBER-03, pri čemu je  Ministarstvo mora, prometa i infrastrukture vodeći projektni partner odnosno koordinator Projekta. Projekt CYSCROMS započeo je 1. listopada 2023. godine, a trajat će 36 mjeseci. </w:t>
      </w:r>
    </w:p>
    <w:p w:rsidR="002E3202" w:rsidRDefault="00391FE7">
      <w:r>
        <w:t xml:space="preserve">Cilj projekta je osigurati visoku razinu usklađenosti identificiranih operatora ključnih usluga sa zahtjevima iz Direktive NIS, odnosno s Direktivom NIS 2 koja ju nasljeđuje kao odgovor EU na rastuće prijetnje u kibernetičkom prostoru i veće zahtjeve za poduzimanjem mjera kibernetičke sigurnosti. </w:t>
      </w:r>
    </w:p>
    <w:p w:rsidR="002E3202" w:rsidRDefault="00391FE7">
      <w:r>
        <w:t>Ukupna vrijednost projekta CYSCROMS iznosi 5.101.672,56 EUR. Stopa dodjele EU doprinosa iznosi 50%. Iznos sufinanciranja koji će temeljem ovog Projekta ukupno primiti Ministarstvo mora, prometa i infrastrukture iznosi 334.246,52 EUR, dok ukupni iznos nacionalnog sufinanciranja iznosi 2.550.836,29 EUR.</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Podizanje razine kibernetičke sigurnosti operatora ključnih usluga u pomorskom prometu</w:t>
            </w:r>
          </w:p>
        </w:tc>
        <w:tc>
          <w:tcPr>
            <w:tcW w:w="2245" w:type="dxa"/>
            <w:vAlign w:val="top"/>
          </w:tcPr>
          <w:p w:rsidR="002E3202" w:rsidRDefault="00391FE7">
            <w:pPr>
              <w:pStyle w:val="CellColumn"/>
              <w:jc w:val="left"/>
            </w:pPr>
            <w:r>
              <w:rPr>
                <w:rFonts w:cs="Times New Roman"/>
              </w:rPr>
              <w:t>Postizanje višeg stupnja kibernetičke sigurnosti operatora ključnih usluga u podsektoru vodni prijevoz kroz osiguranje usklađenosti sa zahtjevima iz Direktive NIS2</w:t>
            </w:r>
          </w:p>
        </w:tc>
        <w:tc>
          <w:tcPr>
            <w:tcW w:w="918" w:type="dxa"/>
          </w:tcPr>
          <w:p w:rsidR="002E3202" w:rsidRDefault="00391FE7">
            <w:pPr>
              <w:jc w:val="center"/>
            </w:pPr>
            <w:r>
              <w:t>%</w:t>
            </w:r>
          </w:p>
        </w:tc>
        <w:tc>
          <w:tcPr>
            <w:tcW w:w="918" w:type="dxa"/>
          </w:tcPr>
          <w:p w:rsidR="002E3202" w:rsidRDefault="00391FE7">
            <w:pPr>
              <w:jc w:val="center"/>
            </w:pPr>
            <w:r>
              <w:t>5</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25</w:t>
            </w:r>
          </w:p>
        </w:tc>
        <w:tc>
          <w:tcPr>
            <w:tcW w:w="918" w:type="dxa"/>
          </w:tcPr>
          <w:p w:rsidR="002E3202" w:rsidRDefault="00391FE7">
            <w:pPr>
              <w:jc w:val="center"/>
            </w:pPr>
            <w:r>
              <w:t>65</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K820078 OBNOVA SAR FLOTE LUČKIH KAPETANIJA</w:t>
      </w:r>
    </w:p>
    <w:p w:rsidR="002E3202" w:rsidRDefault="00391FE7">
      <w:pPr>
        <w:pStyle w:val="Heading8"/>
        <w:jc w:val="left"/>
      </w:pPr>
      <w:r>
        <w:t>Zakonske i druge pravne osnove</w:t>
      </w:r>
    </w:p>
    <w:p w:rsidR="002E3202" w:rsidRDefault="00391FE7">
      <w:r>
        <w:t xml:space="preserve">- Pomorski zakonik, članci 50., 165. i 176. a </w:t>
      </w:r>
    </w:p>
    <w:p w:rsidR="002E3202" w:rsidRDefault="00391FE7">
      <w:r>
        <w:t>- Zakon o lučkim kapetanijama, članak 8.</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K820078</w:t>
            </w:r>
          </w:p>
        </w:tc>
        <w:tc>
          <w:tcPr>
            <w:tcW w:w="1632" w:type="dxa"/>
            <w:vAlign w:val="top"/>
          </w:tcPr>
          <w:p w:rsidR="002E3202" w:rsidRDefault="00391FE7">
            <w:pPr>
              <w:jc w:val="right"/>
            </w:pPr>
            <w:r>
              <w:t>733.651</w:t>
            </w:r>
          </w:p>
        </w:tc>
        <w:tc>
          <w:tcPr>
            <w:tcW w:w="1632" w:type="dxa"/>
            <w:vAlign w:val="top"/>
          </w:tcPr>
          <w:p w:rsidR="002E3202" w:rsidRDefault="00391FE7">
            <w:pPr>
              <w:jc w:val="right"/>
            </w:pPr>
            <w:r>
              <w:t>4.438.071</w:t>
            </w:r>
          </w:p>
        </w:tc>
        <w:tc>
          <w:tcPr>
            <w:tcW w:w="1632" w:type="dxa"/>
            <w:vAlign w:val="top"/>
          </w:tcPr>
          <w:p w:rsidR="002E3202" w:rsidRDefault="00391FE7">
            <w:pPr>
              <w:jc w:val="right"/>
            </w:pPr>
            <w:r>
              <w:t>6.087.840</w:t>
            </w:r>
          </w:p>
        </w:tc>
        <w:tc>
          <w:tcPr>
            <w:tcW w:w="1632" w:type="dxa"/>
            <w:vAlign w:val="top"/>
          </w:tcPr>
          <w:p w:rsidR="002E3202" w:rsidRDefault="00391FE7">
            <w:pPr>
              <w:jc w:val="right"/>
            </w:pPr>
            <w:r>
              <w:t>7.234.141</w:t>
            </w:r>
          </w:p>
        </w:tc>
        <w:tc>
          <w:tcPr>
            <w:tcW w:w="1632" w:type="dxa"/>
            <w:vAlign w:val="top"/>
          </w:tcPr>
          <w:p w:rsidR="002E3202" w:rsidRDefault="00391FE7">
            <w:pPr>
              <w:jc w:val="right"/>
            </w:pPr>
            <w:r>
              <w:t>7.234.141</w:t>
            </w:r>
          </w:p>
        </w:tc>
        <w:tc>
          <w:tcPr>
            <w:tcW w:w="510" w:type="dxa"/>
            <w:vAlign w:val="top"/>
          </w:tcPr>
          <w:p w:rsidR="002E3202" w:rsidRDefault="00391FE7">
            <w:pPr>
              <w:jc w:val="right"/>
            </w:pPr>
            <w:r>
              <w:t>137,2</w:t>
            </w:r>
          </w:p>
        </w:tc>
      </w:tr>
    </w:tbl>
    <w:p w:rsidR="002E3202" w:rsidRDefault="002E3202">
      <w:pPr>
        <w:jc w:val="left"/>
      </w:pPr>
    </w:p>
    <w:p w:rsidR="002E3202" w:rsidRDefault="00391FE7">
      <w:r>
        <w:t xml:space="preserve">Služba traganja i spašavanja (SAR, Search and Rescue) na moru trenutno raspolaže s ukupno 34 plovila, odnosno 4 broda i 30 brodica koje su zastarjele, prosječne starosti veće od 20 godina, različitih tehničko-tehnoloških značajki i raznolike razine opremljenosti uključujući i raznoliku i nedostatnu razinu opremljenosti sredstvima za spašavanje, uz naznaku da većina postojećih plovila nije pogodna za djelovanje u svim nepovoljnim vremenskim uvjetima kakvi vladaju na Jadranu, a niti i u noćnim uvjetima. </w:t>
      </w:r>
    </w:p>
    <w:p w:rsidR="002E3202" w:rsidRDefault="00391FE7">
      <w:r>
        <w:t xml:space="preserve"> </w:t>
      </w:r>
    </w:p>
    <w:p w:rsidR="002E3202" w:rsidRDefault="00391FE7">
      <w:r>
        <w:t xml:space="preserve">Planirana je obnova čitave flote u periodu od 6 godina sa sljedećim plovilima: </w:t>
      </w:r>
    </w:p>
    <w:p w:rsidR="002E3202" w:rsidRDefault="00391FE7">
      <w:r>
        <w:t>-</w:t>
      </w:r>
      <w:r>
        <w:tab/>
        <w:t xml:space="preserve">9 gumenih brodica sa stakloplastičnim dnom duljine trupa 9 metara čija je gradnja u tijeku te je planirana dinamika isporuke dvije brodice u 2023. godini i preostalih sedam u 2024. godini </w:t>
      </w:r>
    </w:p>
    <w:p w:rsidR="002E3202" w:rsidRDefault="00391FE7">
      <w:r>
        <w:t>-</w:t>
      </w:r>
      <w:r>
        <w:tab/>
        <w:t xml:space="preserve">15 stakloplastičnih brodica duljine do 10 metara čija je gradnja u tijeku  te je planirana  dinamika isporuke pet brodica u 2024. godini, pet brodica u 2025. godini i pet brodica u 2026. godini </w:t>
      </w:r>
    </w:p>
    <w:p w:rsidR="002E3202" w:rsidRDefault="00391FE7">
      <w:r>
        <w:t>-</w:t>
      </w:r>
      <w:r>
        <w:tab/>
        <w:t xml:space="preserve">8 aluminijskih brodica duljine do 15 metara; gdje je ugovorena gradnja jedne brodice čija se isporuka očekuje u 2024. godini, te 7 čija se isporuka očekuje u periodu od 2025. do 2028. godine  </w:t>
      </w:r>
    </w:p>
    <w:p w:rsidR="002E3202" w:rsidRDefault="00391FE7">
      <w:r>
        <w:t>-</w:t>
      </w:r>
      <w:r>
        <w:tab/>
        <w:t xml:space="preserve">2 broda duljine do 35 metara, uz procijenjenu vrijednost po sadašnjim cijenama nabave jednog novog broda </w:t>
      </w:r>
    </w:p>
    <w:p w:rsidR="002E3202" w:rsidRDefault="00391FE7">
      <w:r>
        <w:t xml:space="preserve">koja iznosi oko 15.000.000 EUR s PDV-om </w:t>
      </w:r>
    </w:p>
    <w:p w:rsidR="002E3202" w:rsidRDefault="00391FE7">
      <w:r>
        <w:t xml:space="preserve"> </w:t>
      </w:r>
    </w:p>
    <w:p w:rsidR="002E3202" w:rsidRDefault="00391FE7">
      <w:r>
        <w:t xml:space="preserve">Nabavkom ovih plovila bitno će se unaprijediti služba sigurnosti plovidbe i zaštite mora od onečišćenja. Uvođenjem novih plovila posjedovat ćemo flotu bitno boljih maritimnih sposobnosti, smanjit će se prosječna starost flote kao i područje koje će pokrivati svako pojedeno plovilo, uz reakciju na događaj u okviru „zlatnog sata“ u unutarnjim morskim vodama i teritorijalnom moru pri svim vremenskim uvjetima. </w:t>
      </w:r>
    </w:p>
    <w:p w:rsidR="002E3202" w:rsidRDefault="00391FE7">
      <w:r>
        <w:t>U planiranom periodu od 2024. do 2026. godine nabavilo bi se 9 RIB plovila, 15 stakloplastičnih brodica duljine do 10 metara i 5 aluminijskih brodica duljine do 15 metara.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Smanjenje prosječne starosti i unifikacija flote lučkih kapetanija</w:t>
            </w:r>
          </w:p>
        </w:tc>
        <w:tc>
          <w:tcPr>
            <w:tcW w:w="2245" w:type="dxa"/>
            <w:vAlign w:val="top"/>
          </w:tcPr>
          <w:p w:rsidR="002E3202" w:rsidRDefault="00391FE7">
            <w:pPr>
              <w:pStyle w:val="CellColumn"/>
              <w:jc w:val="left"/>
            </w:pPr>
            <w:r>
              <w:rPr>
                <w:rFonts w:cs="Times New Roman"/>
              </w:rPr>
              <w:t>Nabavom 34 nova plovila, te zamjenom plovila starijih od 10 godina smanjuje se prosječna starost plovila, povećava njihova i sigurnost djelatnika lučkih kapetanija i ispostava lučkih kapetanija</w:t>
            </w:r>
          </w:p>
        </w:tc>
        <w:tc>
          <w:tcPr>
            <w:tcW w:w="918" w:type="dxa"/>
          </w:tcPr>
          <w:p w:rsidR="002E3202" w:rsidRDefault="00391FE7">
            <w:pPr>
              <w:jc w:val="center"/>
            </w:pPr>
            <w:r>
              <w:t>Prosječna starost voznog parka</w:t>
            </w:r>
          </w:p>
        </w:tc>
        <w:tc>
          <w:tcPr>
            <w:tcW w:w="918" w:type="dxa"/>
          </w:tcPr>
          <w:p w:rsidR="002E3202" w:rsidRDefault="00391FE7">
            <w:pPr>
              <w:jc w:val="center"/>
            </w:pPr>
            <w:r>
              <w:t>20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15</w:t>
            </w:r>
          </w:p>
        </w:tc>
        <w:tc>
          <w:tcPr>
            <w:tcW w:w="918" w:type="dxa"/>
          </w:tcPr>
          <w:p w:rsidR="002E3202" w:rsidRDefault="00391FE7">
            <w:pPr>
              <w:jc w:val="center"/>
            </w:pPr>
            <w:r>
              <w:t>10</w:t>
            </w:r>
          </w:p>
        </w:tc>
        <w:tc>
          <w:tcPr>
            <w:tcW w:w="918" w:type="dxa"/>
          </w:tcPr>
          <w:p w:rsidR="002E3202" w:rsidRDefault="00391FE7">
            <w:pPr>
              <w:jc w:val="center"/>
            </w:pPr>
            <w:r>
              <w:t>7</w:t>
            </w:r>
          </w:p>
        </w:tc>
      </w:tr>
    </w:tbl>
    <w:p w:rsidR="002E3202" w:rsidRDefault="002E3202">
      <w:pPr>
        <w:jc w:val="left"/>
      </w:pPr>
    </w:p>
    <w:p w:rsidR="002E3202" w:rsidRDefault="00391FE7">
      <w:pPr>
        <w:pStyle w:val="Heading4"/>
      </w:pPr>
      <w:r>
        <w:t>T810059 NACIONALNI SUSTAV ZA SUZBIJANJE ONEČIŠĆENJA MORA VELIKIH RAZMJERA - EAS HR</w:t>
      </w:r>
    </w:p>
    <w:p w:rsidR="002E3202" w:rsidRDefault="00391FE7">
      <w:pPr>
        <w:pStyle w:val="Heading8"/>
        <w:jc w:val="left"/>
      </w:pPr>
      <w:r>
        <w:t>Zakonske i druge pravne osnove</w:t>
      </w:r>
    </w:p>
    <w:p w:rsidR="002E3202" w:rsidRDefault="00391FE7">
      <w:r>
        <w:t xml:space="preserve">- Pomorski zakonik, članak 49. h, članak 55.f i članak 55.h </w:t>
      </w:r>
    </w:p>
    <w:p w:rsidR="002E3202" w:rsidRDefault="00391FE7">
      <w:r>
        <w:t>- Plan intervencija kod iznenadnih onečišćenja mora, točke 31., 35., 40. i 108.</w:t>
      </w:r>
    </w:p>
    <w:tbl>
      <w:tblPr>
        <w:tblStyle w:val="StilTablice"/>
        <w:tblW w:w="10206" w:type="dxa"/>
        <w:jc w:val="center"/>
        <w:tblLook w:val="04A0" w:firstRow="1" w:lastRow="0" w:firstColumn="1" w:lastColumn="0" w:noHBand="0" w:noVBand="1"/>
      </w:tblPr>
      <w:tblGrid>
        <w:gridCol w:w="1468"/>
        <w:gridCol w:w="1554"/>
        <w:gridCol w:w="1561"/>
        <w:gridCol w:w="1561"/>
        <w:gridCol w:w="1546"/>
        <w:gridCol w:w="1546"/>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T810059</w:t>
            </w:r>
          </w:p>
        </w:tc>
        <w:tc>
          <w:tcPr>
            <w:tcW w:w="1632" w:type="dxa"/>
            <w:vAlign w:val="top"/>
          </w:tcPr>
          <w:p w:rsidR="002E3202" w:rsidRDefault="00391FE7">
            <w:pPr>
              <w:jc w:val="right"/>
            </w:pPr>
            <w:r>
              <w:t>00</w:t>
            </w:r>
          </w:p>
        </w:tc>
        <w:tc>
          <w:tcPr>
            <w:tcW w:w="1632" w:type="dxa"/>
            <w:vAlign w:val="top"/>
          </w:tcPr>
          <w:p w:rsidR="002E3202" w:rsidRDefault="00391FE7">
            <w:pPr>
              <w:jc w:val="right"/>
            </w:pPr>
            <w:r>
              <w:t>1.243.139</w:t>
            </w:r>
          </w:p>
        </w:tc>
        <w:tc>
          <w:tcPr>
            <w:tcW w:w="1632" w:type="dxa"/>
            <w:vAlign w:val="top"/>
          </w:tcPr>
          <w:p w:rsidR="002E3202" w:rsidRDefault="00391FE7">
            <w:pPr>
              <w:jc w:val="right"/>
            </w:pPr>
            <w:r>
              <w:t>3.071.249</w:t>
            </w:r>
          </w:p>
        </w:tc>
        <w:tc>
          <w:tcPr>
            <w:tcW w:w="1632" w:type="dxa"/>
            <w:vAlign w:val="top"/>
          </w:tcPr>
          <w:p w:rsidR="002E3202" w:rsidRDefault="00391FE7">
            <w:pPr>
              <w:jc w:val="right"/>
            </w:pPr>
            <w:r>
              <w:t>937.700</w:t>
            </w:r>
          </w:p>
        </w:tc>
        <w:tc>
          <w:tcPr>
            <w:tcW w:w="1632" w:type="dxa"/>
            <w:vAlign w:val="top"/>
          </w:tcPr>
          <w:p w:rsidR="002E3202" w:rsidRDefault="00391FE7">
            <w:pPr>
              <w:jc w:val="right"/>
            </w:pPr>
            <w:r>
              <w:t>100.000</w:t>
            </w:r>
          </w:p>
        </w:tc>
        <w:tc>
          <w:tcPr>
            <w:tcW w:w="510" w:type="dxa"/>
            <w:vAlign w:val="top"/>
          </w:tcPr>
          <w:p w:rsidR="002E3202" w:rsidRDefault="00391FE7">
            <w:pPr>
              <w:jc w:val="right"/>
            </w:pPr>
            <w:r>
              <w:t>247,1</w:t>
            </w:r>
          </w:p>
        </w:tc>
      </w:tr>
    </w:tbl>
    <w:p w:rsidR="002E3202" w:rsidRDefault="002E3202">
      <w:pPr>
        <w:jc w:val="left"/>
      </w:pPr>
    </w:p>
    <w:p w:rsidR="002E3202" w:rsidRDefault="00391FE7">
      <w:r>
        <w:t xml:space="preserve">Uzimajući u obzir dinamiku pomorskog prometa koji se odvija u području Jadranskog mora, te da se u hrvatskim lukama godišnje prosječno pretovari oko 23 milijuna tona različitog tereta od čega se gotovo 50% odnosi na opasni teret i da se u pomorskom prometu koji se tiče hrvatske morske luke ostvari prijevoz više od 19 milijuna putnika godišnje, kao i da se na području epikontinentalnog pojasa Republike Hrvatske nalaze tri eksploatacijska polja ugljikovodika, postoji značajna opasnost od pomorskih nesreća koje mogu prouzročiti iznenadna onečišćenja koja mogu biti pogubna kako za morski okoliš, tako i za hrvatsko gospodarstvo koje je u velikoj mjeri ovisno o njegovom dobro stanju. </w:t>
      </w:r>
    </w:p>
    <w:p w:rsidR="002E3202" w:rsidRDefault="00391FE7">
      <w:r>
        <w:t xml:space="preserve">Radi osiguravanja primjerenog odgovora na iznenadna onečišćenja i uspostave učinkovitog sustava reagiranja sukladno Planu intervencija kod iznenadnih onečišćenja mora te osiguravanja dostupnosti specijalizirane opreme za provedbu intervencija, u 2020. godini pripremljene su detaljne tehničke specifikacije kao i dokumentacija za provedbu postupka javne nabave s ciljem sklapanja okvirnog sporazuma s više gospodarskih subjekata za razdoblje od 4 godine za nabavu usluge provedbe mjera intervencija zaštite mora od onečišćenja te nabavu opreme i sredstava za intervencije kod iznenadnih onečišćenja morao, a koji je objavljen krajem 2020. godine. Radi okolnosti uzrokovanih pandemijom COVID 19, postupak javne nabave dovršen je tijekom 2022. godine kada su sklopljeni okvirni sporazumi s više gospodarskih subjekata.  </w:t>
      </w:r>
    </w:p>
    <w:p w:rsidR="002E3202" w:rsidRDefault="00391FE7">
      <w:r>
        <w:t xml:space="preserve">U 2023. godini sklopljeno je ukupno 5 ugovora za nabavu opreme za suzbijanje onečišćenja mora koja će temeljem Sporazuma između Ministarstva mora, prometa i infrastrukture i Ministarstva obrane RH biti uskladišteni u prvom EAS-HR centru u vojnoj luci Lora u Splitu, odnosno u 2023. godini su nabavljena tri skimmera kapaciteta 50m3, nabavljeno je ukupno 1.500 m zaštitnih plutajućih brana za suzbijanje onečišćenja uskladištenih u kontejnerima, jedan posebni sustav sa zaštitnim branama dužine 250 metara, jedan posebni kontejnizirani sustav za povlačenje brane sa mrežicom za prikupljanje teških ulja, krhotina i plutajućeg otpada te 4 plutajuća tanka za privremeno skladištenje opasnih tekućina kapaciteta 25m3 te jedan sklopivi spremnik za privremeno skladištenje opasnih tekućina kapaciteta kapaciteta 10m3. Dodatno, u 2023. godini izvršene su dvije edukacije osoblja uključenog u provedbu Plana intervencija kod iznenadnih onečišćenja mora prema modelu IMO level II i IMO level III. </w:t>
      </w:r>
    </w:p>
    <w:p w:rsidR="002E3202" w:rsidRDefault="00391FE7">
      <w:r>
        <w:t>Sredstva planirana za 2024. godinu utrošiti će se za nastavak nabave specijalizirane opreme za opremanje drugog EAS-HR centra, kako bi se što je prije moguće podigla razina sposobnosti i otpornosti Republike Hrvatske za reagiranja u slučajevima iznenadnih onečišćenja mora.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Uspostava 3 EAS-HR centra na području priobalnih županija, opremljenih specijaliziranom opremom (brane, skimmeri, ostala oprema) za provedbu mjera suzbijanja onečišćenja mora velikih razmjera, te ograničavanja šteta u morskom okolišu i gospodarstvu</w:t>
            </w:r>
          </w:p>
        </w:tc>
        <w:tc>
          <w:tcPr>
            <w:tcW w:w="2245" w:type="dxa"/>
            <w:vAlign w:val="top"/>
          </w:tcPr>
          <w:p w:rsidR="002E3202" w:rsidRDefault="00391FE7">
            <w:pPr>
              <w:pStyle w:val="CellColumn"/>
              <w:jc w:val="left"/>
            </w:pPr>
            <w:r>
              <w:rPr>
                <w:rFonts w:cs="Times New Roman"/>
              </w:rPr>
              <w:t>Primjereni odgovor na iznenadna onečišćenja odnosno učinkovito reagiranje po Planu intervencija kod iznenadnih onečišćenja mora i Subregionalnom planu intervencija za sprječavanje, spremnost za i reagiranje na iznenadna onečišćenja Jadranskog mora većih razmjera s pomorskih objekata, radi dostupnosti specijalizirane opreme za provedbu intervencija u slučaju onečišćenja mora velikih razmjera, razmještene u logističke centre duž Jadranske obale</w:t>
            </w:r>
          </w:p>
        </w:tc>
        <w:tc>
          <w:tcPr>
            <w:tcW w:w="918" w:type="dxa"/>
          </w:tcPr>
          <w:p w:rsidR="002E3202" w:rsidRDefault="00391FE7">
            <w:pPr>
              <w:jc w:val="center"/>
            </w:pPr>
            <w:r>
              <w:t>broj</w:t>
            </w:r>
          </w:p>
        </w:tc>
        <w:tc>
          <w:tcPr>
            <w:tcW w:w="918" w:type="dxa"/>
          </w:tcPr>
          <w:p w:rsidR="002E3202" w:rsidRDefault="00391FE7">
            <w:pPr>
              <w:jc w:val="center"/>
            </w:pPr>
            <w:r>
              <w:t>0,5</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w:t>
            </w:r>
          </w:p>
        </w:tc>
        <w:tc>
          <w:tcPr>
            <w:tcW w:w="918" w:type="dxa"/>
          </w:tcPr>
          <w:p w:rsidR="002E3202" w:rsidRDefault="00391FE7">
            <w:pPr>
              <w:jc w:val="center"/>
            </w:pPr>
            <w:r>
              <w:t>2</w:t>
            </w:r>
          </w:p>
        </w:tc>
        <w:tc>
          <w:tcPr>
            <w:tcW w:w="918" w:type="dxa"/>
          </w:tcPr>
          <w:p w:rsidR="002E3202" w:rsidRDefault="00391FE7">
            <w:pPr>
              <w:jc w:val="center"/>
            </w:pPr>
            <w:r>
              <w:t>3</w:t>
            </w:r>
          </w:p>
        </w:tc>
      </w:tr>
    </w:tbl>
    <w:p w:rsidR="002E3202" w:rsidRDefault="002E3202">
      <w:pPr>
        <w:jc w:val="left"/>
      </w:pPr>
    </w:p>
    <w:p w:rsidR="002E3202" w:rsidRDefault="00391FE7">
      <w:pPr>
        <w:pStyle w:val="Heading4"/>
      </w:pPr>
      <w:r>
        <w:t>T810060 PROJEKT PROŠIRENJA I PRODUBLJENJA PLOVNOG KANALA PRIVLAČKI GAZ</w:t>
      </w:r>
    </w:p>
    <w:p w:rsidR="002E3202" w:rsidRDefault="00391FE7">
      <w:pPr>
        <w:pStyle w:val="Heading8"/>
        <w:jc w:val="left"/>
      </w:pPr>
      <w:r>
        <w:t>Zakonske i druge pravne osnove</w:t>
      </w:r>
    </w:p>
    <w:p w:rsidR="002E3202" w:rsidRDefault="00391FE7">
      <w:r>
        <w:t xml:space="preserve">- Pomorski zakonik, članak 50., stavak 3.; članci 51. i 52. </w:t>
      </w:r>
    </w:p>
    <w:p w:rsidR="002E3202" w:rsidRDefault="00391FE7">
      <w:r>
        <w:t xml:space="preserve">- Zakon o Plovputu </w:t>
      </w:r>
    </w:p>
    <w:p w:rsidR="002E3202" w:rsidRDefault="00391FE7">
      <w:r>
        <w:t xml:space="preserve">- Sporazum o koordinaciji, zajedničkom financiranju i realizaciji izvođenja radova proširenja i produbljenja plovnog kanala Privlački gaz (1/1-2-1983/18-3848/ŽM) </w:t>
      </w:r>
    </w:p>
    <w:p w:rsidR="002E3202" w:rsidRDefault="00391FE7">
      <w:r>
        <w:t xml:space="preserve">- Aneks br. 1. Sporazuma o koordinaciji, zajedničkom financiranju i realizaciji izvođenja radova proširenja i produbljenja plovnog kanala Privlački gaz broj: 1/1-2-1983/18-3848/ŽM </w:t>
      </w:r>
    </w:p>
    <w:p w:rsidR="002E3202" w:rsidRDefault="00391FE7">
      <w:r>
        <w:t>- Ugovor o zajedničkom financiranju projekta proširenja i produbljenja plovnog kanala Privlački gaz Broj: 1/1-2- 3016/19-4133/ŽM</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T810060</w:t>
            </w:r>
          </w:p>
        </w:tc>
        <w:tc>
          <w:tcPr>
            <w:tcW w:w="1632" w:type="dxa"/>
            <w:vAlign w:val="top"/>
          </w:tcPr>
          <w:p w:rsidR="002E3202" w:rsidRDefault="00391FE7">
            <w:pPr>
              <w:jc w:val="right"/>
            </w:pPr>
            <w:r>
              <w:t>241.435</w:t>
            </w:r>
          </w:p>
        </w:tc>
        <w:tc>
          <w:tcPr>
            <w:tcW w:w="1632" w:type="dxa"/>
            <w:vAlign w:val="top"/>
          </w:tcPr>
          <w:p w:rsidR="002E3202" w:rsidRDefault="00391FE7">
            <w:pPr>
              <w:jc w:val="right"/>
            </w:pPr>
            <w:r>
              <w:t>596.713</w:t>
            </w:r>
          </w:p>
        </w:tc>
        <w:tc>
          <w:tcPr>
            <w:tcW w:w="1632" w:type="dxa"/>
            <w:vAlign w:val="top"/>
          </w:tcPr>
          <w:p w:rsidR="002E3202" w:rsidRDefault="00391FE7">
            <w:pPr>
              <w:jc w:val="right"/>
            </w:pPr>
            <w:r>
              <w:t>550.000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92,2</w:t>
            </w:r>
          </w:p>
        </w:tc>
      </w:tr>
    </w:tbl>
    <w:p w:rsidR="002E3202" w:rsidRDefault="002E3202">
      <w:pPr>
        <w:jc w:val="left"/>
      </w:pPr>
    </w:p>
    <w:p w:rsidR="002E3202" w:rsidRDefault="00391FE7">
      <w:r>
        <w:t xml:space="preserve">Plovput d.o.o, Zadarska županija, Grad Nin, Općina Privlaka, Općina Vir, Općina Vrsi, te Ministarstvo mora, prometa i infrastrukture dana 7. prosinca 2018. godine zaključili su Sporazum o koordinaciji, zajedničkom financiranju i realizaciji izvođenja radova proširenja i produbljenja plovnog kanala Privlački gaz broj: 1/1-2- 1983/18-3848/ŽM, kojim su uređeni međusobni odnosi u svezi koordinacije aktivnosti, zajedničkog financiranja i realizacije izvođenja radova proširenja i produbljenja plovnog kanala Privlački gaz. U svrhu realizacije navedenog projekta, Ministarstvo mora, prometa i infrastrukture je temeljem potpisanog Sporazuma, kao i Odluke o dodjeli proračunskih sredstava namijenjenih za sufinanciranje i realizaciju izvođenja radova proširenja i produbljenja plovnog kanala Privlački gaz u 2018. godini, isplatilo trgovačkom društvu Plovput d.o.o. financijska sredstva u iznosu od 71.225 eura za nabavu dijela od potrebnih 26 konstrukcija zglobno - elastičnih oznaka plovnog puta i dvije oznake sredine i visine slobodnog prolaza plovila ispod mosta na području plovnog puta Privlački gaz. </w:t>
      </w:r>
    </w:p>
    <w:p w:rsidR="002E3202" w:rsidRDefault="00391FE7">
      <w:r>
        <w:t xml:space="preserve"> </w:t>
      </w:r>
    </w:p>
    <w:p w:rsidR="002E3202" w:rsidRDefault="00391FE7">
      <w:r>
        <w:t xml:space="preserve">Dana 14. svibnja 2021. godine ugovorne strane sklopile su Aneks br. 1. Sporazuma o koordinaciji, zajedničkom financiranju i realizaciji izvođenja radova proširenja i produbljenja plovnog kanala Privlački gaz broj: 1/1-2- 1983/18-3848/ŽM kojim je utvrđen udjel sufinanciranja projekta od strane svih ugovornih stranaka Sporazuma. Istim Aneksom br. 1 Sporazuma utvrđeno je da će Ministarstva mora, prometa i infrastrukture sudjelovati u financiranju radova u postotku od 42,51% ukupne procijenjene vrijednosti projekta. </w:t>
      </w:r>
    </w:p>
    <w:p w:rsidR="002E3202" w:rsidRDefault="00391FE7">
      <w:r>
        <w:t xml:space="preserve"> </w:t>
      </w:r>
    </w:p>
    <w:p w:rsidR="002E3202" w:rsidRDefault="00391FE7">
      <w:r>
        <w:t xml:space="preserve">Nakon što je Plovput d.o.o. proveo sve postupke javne nabave, odnosno po konačnom utvrđivanju iznosa neophodnog za financiranja cjelokupnog projekta Ministarstvo mora, prometa i infrastrukture zaključilo je dana 22. prosinca 2021. godine Ugovor o zajedničkom financiranju projekta proširenja i produbljenja plovnog kanala Privlački gaz Broj: 1/1-2-3016/19-4133/ŽM s ostalim navedenim ugovornim stranama. </w:t>
      </w:r>
    </w:p>
    <w:p w:rsidR="002E3202" w:rsidRDefault="00391FE7">
      <w:r>
        <w:t xml:space="preserve"> </w:t>
      </w:r>
    </w:p>
    <w:p w:rsidR="002E3202" w:rsidRDefault="00391FE7">
      <w:r>
        <w:t>Istim Ugovorom utvrđeno je da će Ministarstvo mora, prometa i infrastrukture sufinancirati projekt u iznosu od 986.555 eura umanjeno za iznos koji je uplatilo u 2018. godini, odnosno u ukupnom iznosu od 915.330 eura, od čega u 2022. godini u iznosu od 394.622 eura, u 2023. godini u iznosu 422.052,05 EUR, te u 2024. godini u iznosu od 98.655.54 EUR. Obzirom na okolnosti koje su pratile provedbu projekta, u njegovoj izvedbi došlo je do promjene planirane dinamike radova, kao i tehnoloških izmjena, a iz kojeg je razloga posljedično došlo i do povećanja ukupne vrijednosti cjelokupnog projekta. Dovršetak projekta je planiran u 2024. godini.</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Proširen i produbljen plovni kanal Privlački gaz</w:t>
            </w:r>
          </w:p>
        </w:tc>
        <w:tc>
          <w:tcPr>
            <w:tcW w:w="2245" w:type="dxa"/>
            <w:vAlign w:val="top"/>
          </w:tcPr>
          <w:p w:rsidR="002E3202" w:rsidRDefault="00391FE7">
            <w:pPr>
              <w:pStyle w:val="CellColumn"/>
              <w:jc w:val="left"/>
            </w:pPr>
            <w:r>
              <w:rPr>
                <w:rFonts w:cs="Times New Roman"/>
              </w:rPr>
              <w:t>Proširenjem i produbljenjem Privlačkog gaza podići će se razina sigurnosti plovidbe, skratiti plovidba i omogućiti dvosmjerna plovidba kanalom za sva plovila</w:t>
            </w:r>
          </w:p>
        </w:tc>
        <w:tc>
          <w:tcPr>
            <w:tcW w:w="918" w:type="dxa"/>
          </w:tcPr>
          <w:p w:rsidR="002E3202" w:rsidRDefault="00391FE7">
            <w:pPr>
              <w:jc w:val="center"/>
            </w:pPr>
            <w:r>
              <w:t>%</w:t>
            </w:r>
          </w:p>
        </w:tc>
        <w:tc>
          <w:tcPr>
            <w:tcW w:w="918" w:type="dxa"/>
          </w:tcPr>
          <w:p w:rsidR="002E3202" w:rsidRDefault="00391FE7">
            <w:pPr>
              <w:jc w:val="center"/>
            </w:pPr>
            <w:r>
              <w:t>80</w:t>
            </w:r>
          </w:p>
        </w:tc>
        <w:tc>
          <w:tcPr>
            <w:tcW w:w="918" w:type="dxa"/>
          </w:tcPr>
          <w:p w:rsidR="002E3202" w:rsidRDefault="00391FE7">
            <w:pPr>
              <w:pStyle w:val="CellColumn"/>
              <w:jc w:val="center"/>
            </w:pPr>
            <w:r>
              <w:rPr>
                <w:rFonts w:cs="Times New Roman"/>
              </w:rPr>
              <w:t>MMPI, Plovput d.o.o.</w:t>
            </w:r>
          </w:p>
        </w:tc>
        <w:tc>
          <w:tcPr>
            <w:tcW w:w="918" w:type="dxa"/>
          </w:tcPr>
          <w:p w:rsidR="002E3202" w:rsidRDefault="00391FE7">
            <w:pPr>
              <w:jc w:val="center"/>
            </w:pPr>
            <w:r>
              <w:t>100</w:t>
            </w:r>
          </w:p>
        </w:tc>
        <w:tc>
          <w:tcPr>
            <w:tcW w:w="918" w:type="dxa"/>
          </w:tcPr>
          <w:p w:rsidR="002E3202" w:rsidRDefault="00391FE7">
            <w:pPr>
              <w:jc w:val="center"/>
            </w:pPr>
            <w:r>
              <w:t>-</w:t>
            </w:r>
          </w:p>
        </w:tc>
        <w:tc>
          <w:tcPr>
            <w:tcW w:w="918" w:type="dxa"/>
          </w:tcPr>
          <w:p w:rsidR="002E3202" w:rsidRDefault="00391FE7">
            <w:pPr>
              <w:jc w:val="center"/>
            </w:pPr>
            <w:r>
              <w:t>-</w:t>
            </w:r>
          </w:p>
        </w:tc>
      </w:tr>
    </w:tbl>
    <w:p w:rsidR="002E3202" w:rsidRDefault="002E3202">
      <w:pPr>
        <w:jc w:val="left"/>
      </w:pPr>
    </w:p>
    <w:p w:rsidR="002E3202" w:rsidRDefault="00391FE7">
      <w:pPr>
        <w:pStyle w:val="Heading4"/>
      </w:pPr>
      <w:r>
        <w:t>T820080 NAMIRS - SUSTAV REAGIRANJA NA IZNENADNA ONEČIŠĆENJA MORA S POMORSKIH OBJEKATA U SJEVERNOM JADRANU</w:t>
      </w:r>
    </w:p>
    <w:p w:rsidR="002E3202" w:rsidRDefault="00391FE7">
      <w:pPr>
        <w:pStyle w:val="Heading8"/>
        <w:jc w:val="left"/>
      </w:pPr>
      <w:r>
        <w:t>Zakonske i druge pravne osnove</w:t>
      </w:r>
    </w:p>
    <w:p w:rsidR="002E3202" w:rsidRDefault="00391FE7">
      <w:r>
        <w:t xml:space="preserve">- Pomorski zakonik, članak 55.f i članak 55.h </w:t>
      </w:r>
    </w:p>
    <w:p w:rsidR="002E3202" w:rsidRDefault="00391FE7">
      <w:r>
        <w:t>- Plan intervencija kod iznenadnih onečišćenja mora, točke 36. i 102.</w:t>
      </w:r>
    </w:p>
    <w:tbl>
      <w:tblPr>
        <w:tblStyle w:val="StilTablice"/>
        <w:tblW w:w="10206" w:type="dxa"/>
        <w:jc w:val="center"/>
        <w:tblLook w:val="04A0" w:firstRow="1" w:lastRow="0" w:firstColumn="1" w:lastColumn="0" w:noHBand="0" w:noVBand="1"/>
      </w:tblPr>
      <w:tblGrid>
        <w:gridCol w:w="1480"/>
        <w:gridCol w:w="1568"/>
        <w:gridCol w:w="1553"/>
        <w:gridCol w:w="1545"/>
        <w:gridCol w:w="1545"/>
        <w:gridCol w:w="1545"/>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T820080</w:t>
            </w:r>
          </w:p>
        </w:tc>
        <w:tc>
          <w:tcPr>
            <w:tcW w:w="1632" w:type="dxa"/>
            <w:vAlign w:val="top"/>
          </w:tcPr>
          <w:p w:rsidR="002E3202" w:rsidRDefault="00391FE7">
            <w:pPr>
              <w:jc w:val="right"/>
            </w:pPr>
            <w:r>
              <w:t>6.615</w:t>
            </w:r>
          </w:p>
        </w:tc>
        <w:tc>
          <w:tcPr>
            <w:tcW w:w="1632" w:type="dxa"/>
            <w:vAlign w:val="top"/>
          </w:tcPr>
          <w:p w:rsidR="002E3202" w:rsidRDefault="00391FE7">
            <w:pPr>
              <w:jc w:val="right"/>
            </w:pPr>
            <w:r>
              <w:t>34.879</w:t>
            </w:r>
          </w:p>
        </w:tc>
        <w:tc>
          <w:tcPr>
            <w:tcW w:w="1632" w:type="dxa"/>
            <w:vAlign w:val="top"/>
          </w:tcPr>
          <w:p w:rsidR="002E3202" w:rsidRDefault="00391FE7">
            <w:pPr>
              <w:jc w:val="right"/>
            </w:pPr>
            <w:r>
              <w:t>6.342</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18,2</w:t>
            </w:r>
          </w:p>
        </w:tc>
      </w:tr>
    </w:tbl>
    <w:p w:rsidR="002E3202" w:rsidRDefault="002E3202">
      <w:pPr>
        <w:jc w:val="left"/>
      </w:pPr>
    </w:p>
    <w:p w:rsidR="002E3202" w:rsidRDefault="00391FE7">
      <w:r>
        <w:t xml:space="preserve">Ministarstvo mora, prometa i infrastrukture, u svojstvu projektnog partnera od 1. ožujka 2022. godine zajedno s projektnim partnerima iz Italije i Slovenije započelo je s aktivnostima na projektu „North Adriatic Maritime Incident Response System“ (NAMIRS) financiranom u okviru Mehanizma Unije za civilnu zaštitu (Union Civil Protection Mechanism), temeljem poziva Prevention and Preparedness Projects in Civil Protection and Marine Pollution. </w:t>
      </w:r>
    </w:p>
    <w:p w:rsidR="002E3202" w:rsidRDefault="00391FE7">
      <w:r>
        <w:t xml:space="preserve"> </w:t>
      </w:r>
    </w:p>
    <w:p w:rsidR="002E3202" w:rsidRDefault="00391FE7">
      <w:r>
        <w:t>Projektom NAMIRS izraditi će se analiza učinkovitosti postojećeg Subregionalnog plana intervencija za reagiranja na iznenadna onečišćenja mora s pomorskih objekata, koji ima za cilj doprinijeti unaprjeđenju zaštite Jadranskog mora, kao i uspostaviti mehanizam zajedničkog reagiranja jadranskih zemalja na katastrofe uzrokovane iznenadnim onečišćenjima mora uljima s brodova koja mogu utjecati na teritorijalna mora, obale i nacionalne interese jedne ili više zemalja.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Podizanje razine sustava reagiranja na iznenadna onečišćenja mora s pomorskih objekata u sjevernom Jadranu</w:t>
            </w:r>
          </w:p>
        </w:tc>
        <w:tc>
          <w:tcPr>
            <w:tcW w:w="2245" w:type="dxa"/>
            <w:vAlign w:val="top"/>
          </w:tcPr>
          <w:p w:rsidR="002E3202" w:rsidRDefault="00391FE7">
            <w:pPr>
              <w:pStyle w:val="CellColumn"/>
              <w:jc w:val="left"/>
            </w:pPr>
            <w:r>
              <w:rPr>
                <w:rFonts w:cs="Times New Roman"/>
              </w:rPr>
              <w:t>Primjereni odgovor na iznenadna onečišćenja odnosno učinkovito reagiranje po Planu intervencija kod iznenadnih onečišćenja mora i Subregionalnom planu intervencija za sprječavanje, spremnost za i reagiranje na iznenadna onečišćenja Jadranskog mora većih razmjera s pomorskih objekata</w:t>
            </w:r>
          </w:p>
        </w:tc>
        <w:tc>
          <w:tcPr>
            <w:tcW w:w="918" w:type="dxa"/>
          </w:tcPr>
          <w:p w:rsidR="002E3202" w:rsidRDefault="00391FE7">
            <w:pPr>
              <w:jc w:val="center"/>
            </w:pPr>
            <w:r>
              <w:t>%</w:t>
            </w:r>
          </w:p>
        </w:tc>
        <w:tc>
          <w:tcPr>
            <w:tcW w:w="918" w:type="dxa"/>
          </w:tcPr>
          <w:p w:rsidR="002E3202" w:rsidRDefault="00391FE7">
            <w:pPr>
              <w:jc w:val="center"/>
            </w:pPr>
            <w:r>
              <w:t>80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391FE7">
            <w:pPr>
              <w:jc w:val="center"/>
            </w:pPr>
            <w:r>
              <w:t>-</w:t>
            </w:r>
          </w:p>
        </w:tc>
        <w:tc>
          <w:tcPr>
            <w:tcW w:w="918" w:type="dxa"/>
          </w:tcPr>
          <w:p w:rsidR="002E3202" w:rsidRDefault="00391FE7">
            <w:pPr>
              <w:jc w:val="center"/>
            </w:pPr>
            <w:r>
              <w:t>-</w:t>
            </w:r>
          </w:p>
        </w:tc>
      </w:tr>
    </w:tbl>
    <w:p w:rsidR="002E3202" w:rsidRDefault="002E3202">
      <w:pPr>
        <w:jc w:val="left"/>
      </w:pPr>
    </w:p>
    <w:p w:rsidR="002E3202" w:rsidRDefault="00391FE7">
      <w:pPr>
        <w:pStyle w:val="Heading4"/>
      </w:pPr>
      <w:r>
        <w:t>T820083 MEHANIZAM ZAŠTITE OSJETLJIVIH PODRUČJA JADRANA (ASAP)</w:t>
      </w:r>
    </w:p>
    <w:p w:rsidR="002E3202" w:rsidRDefault="00391FE7">
      <w:pPr>
        <w:pStyle w:val="Heading8"/>
        <w:jc w:val="left"/>
      </w:pPr>
      <w:r>
        <w:t>Zakonske i druge pravne osnove</w:t>
      </w:r>
    </w:p>
    <w:p w:rsidR="002E3202" w:rsidRDefault="00391FE7">
      <w:r>
        <w:t xml:space="preserve">- Pomorski zakonik, članak 55.f i članak 55.h </w:t>
      </w:r>
    </w:p>
    <w:p w:rsidR="002E3202" w:rsidRDefault="00391FE7">
      <w:r>
        <w:t>- Plan intervencija kod iznenadnih onečišćenja mora, točke 36. i 102.</w:t>
      </w:r>
    </w:p>
    <w:tbl>
      <w:tblPr>
        <w:tblStyle w:val="StilTablice"/>
        <w:tblW w:w="10206" w:type="dxa"/>
        <w:jc w:val="center"/>
        <w:tblLook w:val="04A0" w:firstRow="1" w:lastRow="0" w:firstColumn="1" w:lastColumn="0" w:noHBand="0" w:noVBand="1"/>
      </w:tblPr>
      <w:tblGrid>
        <w:gridCol w:w="1476"/>
        <w:gridCol w:w="1565"/>
        <w:gridCol w:w="1540"/>
        <w:gridCol w:w="1549"/>
        <w:gridCol w:w="1557"/>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T820083</w:t>
            </w:r>
          </w:p>
        </w:tc>
        <w:tc>
          <w:tcPr>
            <w:tcW w:w="1632" w:type="dxa"/>
            <w:vAlign w:val="top"/>
          </w:tcPr>
          <w:p w:rsidR="002E3202" w:rsidRDefault="00391FE7">
            <w:pPr>
              <w:jc w:val="right"/>
            </w:pPr>
            <w:r>
              <w:t>00</w:t>
            </w:r>
          </w:p>
        </w:tc>
        <w:tc>
          <w:tcPr>
            <w:tcW w:w="1632" w:type="dxa"/>
            <w:vAlign w:val="top"/>
          </w:tcPr>
          <w:p w:rsidR="002E3202" w:rsidRDefault="00391FE7">
            <w:pPr>
              <w:jc w:val="right"/>
            </w:pPr>
            <w:r>
              <w:t>9.925</w:t>
            </w:r>
          </w:p>
        </w:tc>
        <w:tc>
          <w:tcPr>
            <w:tcW w:w="1632" w:type="dxa"/>
            <w:vAlign w:val="top"/>
          </w:tcPr>
          <w:p w:rsidR="002E3202" w:rsidRDefault="00391FE7">
            <w:pPr>
              <w:jc w:val="right"/>
            </w:pPr>
            <w:r>
              <w:t>69.000</w:t>
            </w:r>
          </w:p>
        </w:tc>
        <w:tc>
          <w:tcPr>
            <w:tcW w:w="1632" w:type="dxa"/>
            <w:vAlign w:val="top"/>
          </w:tcPr>
          <w:p w:rsidR="002E3202" w:rsidRDefault="00391FE7">
            <w:pPr>
              <w:jc w:val="right"/>
            </w:pPr>
            <w:r>
              <w:t>124.600</w:t>
            </w:r>
          </w:p>
        </w:tc>
        <w:tc>
          <w:tcPr>
            <w:tcW w:w="1632" w:type="dxa"/>
            <w:vAlign w:val="top"/>
          </w:tcPr>
          <w:p w:rsidR="002E3202" w:rsidRDefault="00391FE7">
            <w:pPr>
              <w:jc w:val="right"/>
            </w:pPr>
            <w:r>
              <w:t>27.681</w:t>
            </w:r>
          </w:p>
        </w:tc>
        <w:tc>
          <w:tcPr>
            <w:tcW w:w="510" w:type="dxa"/>
            <w:vAlign w:val="top"/>
          </w:tcPr>
          <w:p w:rsidR="002E3202" w:rsidRDefault="00391FE7">
            <w:pPr>
              <w:jc w:val="right"/>
            </w:pPr>
            <w:r>
              <w:t>695,2</w:t>
            </w:r>
          </w:p>
        </w:tc>
      </w:tr>
    </w:tbl>
    <w:p w:rsidR="002E3202" w:rsidRDefault="002E3202">
      <w:pPr>
        <w:jc w:val="left"/>
      </w:pPr>
    </w:p>
    <w:p w:rsidR="002E3202" w:rsidRDefault="00391FE7">
      <w:r>
        <w:t xml:space="preserve">Ovo Ministarstvo zajedno s partnerima pripremilo je projektnu prijavu u sklopu poziva IPA-ADRION a ukupna vrijednost projekta se procjenjuje na 1,7 miliona €. Projekt ASAP predstavlja nastavak aktivnosti projekta NAMIRS  širenjem istih na područje cijelog Jadranskog mora. </w:t>
      </w:r>
    </w:p>
    <w:p w:rsidR="002E3202" w:rsidRDefault="00391FE7">
      <w:r>
        <w:t xml:space="preserve"> </w:t>
      </w:r>
    </w:p>
    <w:p w:rsidR="002E3202" w:rsidRDefault="00391FE7">
      <w:r>
        <w:t xml:space="preserve">Konzorcij će definirati specifične smjernice za izradu Subregionalnog plana za izvanredne situacije na području Jadranskog mora. Projektni partneri će definirati standardne operativne postupke (SOP), uspostavit će se subregionalni operativni mehanizam za intervenciju na raspolaganju zemalja Jadranskog mora. </w:t>
      </w:r>
    </w:p>
    <w:p w:rsidR="002E3202" w:rsidRDefault="00391FE7">
      <w:r>
        <w:t xml:space="preserve"> </w:t>
      </w:r>
    </w:p>
    <w:p w:rsidR="002E3202" w:rsidRDefault="00391FE7">
      <w:r>
        <w:t>Predviđenim aktivnostima stvoriti će se kvalitetna podloga za suradnju zemalja koje okružuju Jadransko  more na polju reagiranja na iznenadna onečišćenja mora s pomorskih objekata, čime će se uvelike povećati mogućnosti reagiranja u slučajevima kada količina izlivenog ulja s pomorskih objekata prekoračuje mogućnosti resursa za reagiranje u takvoj situaciji. U slučajevima katastrofalnih događaja na moru, regionalna suradnja je nužna te je ovakav projekt od iznimnog interesa za Republiku Hrvatsku.</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Podizanje razine sustava reagiranja na iznenadna onečišćenja mora s pomorskih objekata u sjevernom Jadranu</w:t>
            </w:r>
          </w:p>
        </w:tc>
        <w:tc>
          <w:tcPr>
            <w:tcW w:w="2245" w:type="dxa"/>
            <w:vAlign w:val="top"/>
          </w:tcPr>
          <w:p w:rsidR="002E3202" w:rsidRDefault="00391FE7">
            <w:pPr>
              <w:pStyle w:val="CellColumn"/>
              <w:jc w:val="left"/>
            </w:pPr>
            <w:r>
              <w:rPr>
                <w:rFonts w:cs="Times New Roman"/>
              </w:rPr>
              <w:t>Primjereni odgovor na iznenadna onečišćenja odnosno učinkovito reagiranje po Planu intervencija kod iznenadnih onečišćenja mora i Subregionalnom planu intervencija za sprječavanje, spremnost za i reagiranje na iznenadna onečišćenja Jadranskog mora većih razmjera s pomorskih objekata</w:t>
            </w:r>
          </w:p>
        </w:tc>
        <w:tc>
          <w:tcPr>
            <w:tcW w:w="918" w:type="dxa"/>
          </w:tcPr>
          <w:p w:rsidR="002E3202" w:rsidRDefault="00391FE7">
            <w:pPr>
              <w:jc w:val="center"/>
            </w:pPr>
            <w:r>
              <w:t>%</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40</w:t>
            </w:r>
          </w:p>
        </w:tc>
        <w:tc>
          <w:tcPr>
            <w:tcW w:w="918" w:type="dxa"/>
          </w:tcPr>
          <w:p w:rsidR="002E3202" w:rsidRDefault="00391FE7">
            <w:pPr>
              <w:jc w:val="center"/>
            </w:pPr>
            <w:r>
              <w:t>80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T821075 INTERREG VB-ADRION-PROJEKT EUREKA-JADRANSKO-JONSKA MREŽA RAZVOJA I HARMONIZACIJE POMORSKE SIGURNOSTI</w:t>
      </w:r>
    </w:p>
    <w:p w:rsidR="002E3202" w:rsidRDefault="00391FE7">
      <w:pPr>
        <w:pStyle w:val="Heading8"/>
        <w:jc w:val="left"/>
      </w:pPr>
      <w:r>
        <w:t>Zakonske i druge pravne osnove</w:t>
      </w:r>
    </w:p>
    <w:p w:rsidR="002E3202" w:rsidRDefault="00391FE7">
      <w:r>
        <w:t xml:space="preserve">- Pomorski zakonik, članak 60. </w:t>
      </w:r>
    </w:p>
    <w:p w:rsidR="002E3202" w:rsidRDefault="00391FE7">
      <w:r>
        <w:t xml:space="preserve">- Direktiva 2002/59/EZ Europskog Parlamenta i Vijeća od 27. lipnja 2002. o uspostavi sustava nadzora plovidbe i informacijskog sustava Zajednice i stavljanju izvan snage Direktive Vijeća 93/75/EEZ, s izmjenama i dopunama </w:t>
      </w:r>
    </w:p>
    <w:p w:rsidR="002E3202" w:rsidRDefault="00391FE7">
      <w:r>
        <w:t xml:space="preserve">- Direktiva 2010/65/EU Europskog Parlamenta i Vijeća od 20. listopada 2010. o službenom postupku prijave za brodove koji dolaze u luke i/ili odlaze iz luka država članica i o stavljanju izvan snage Direktive 2002/6/EZ </w:t>
      </w:r>
    </w:p>
    <w:p w:rsidR="002E3202" w:rsidRDefault="00391FE7">
      <w:r>
        <w:t xml:space="preserve">- Uredba (EU) 2019/1239 Europskog parlamenta i Vijeća od 20. lipnja 2019. o uspostavi europskog okružja jedinstvenog pomorskog sučelja i stavljanju izvan snage Direktive 2010/65/EU </w:t>
      </w:r>
    </w:p>
    <w:p w:rsidR="002E3202" w:rsidRDefault="00391FE7">
      <w:r>
        <w:t xml:space="preserve">- IMO FAL Konvencija </w:t>
      </w:r>
    </w:p>
    <w:p w:rsidR="002E3202" w:rsidRDefault="00391FE7">
      <w:r>
        <w:t xml:space="preserve">- Subsidy Contract for the implementation of the Interreg V-B Adriatic Ionian ADRION1212 - Adriatic-Ionian joint approach for development and harmonisation of procedures and regulations in the field of navigation safety - EUREKA, i Amendment I istom </w:t>
      </w:r>
    </w:p>
    <w:p w:rsidR="002E3202" w:rsidRDefault="00391FE7">
      <w:r>
        <w:t>- Partnership Agreement for the implementation of the project ADRION1212 - Adriatic-Ionian joint approach for development and harmonisation of procedures and regulations in the field of navigation safety – EUREKA i Amendment I istom</w:t>
      </w:r>
    </w:p>
    <w:tbl>
      <w:tblPr>
        <w:tblStyle w:val="StilTablice"/>
        <w:tblW w:w="10206" w:type="dxa"/>
        <w:jc w:val="center"/>
        <w:tblLook w:val="04A0" w:firstRow="1" w:lastRow="0" w:firstColumn="1" w:lastColumn="0" w:noHBand="0" w:noVBand="1"/>
      </w:tblPr>
      <w:tblGrid>
        <w:gridCol w:w="1472"/>
        <w:gridCol w:w="1560"/>
        <w:gridCol w:w="1567"/>
        <w:gridCol w:w="1567"/>
        <w:gridCol w:w="1535"/>
        <w:gridCol w:w="1535"/>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T821075</w:t>
            </w:r>
          </w:p>
        </w:tc>
        <w:tc>
          <w:tcPr>
            <w:tcW w:w="1632" w:type="dxa"/>
            <w:vAlign w:val="top"/>
          </w:tcPr>
          <w:p w:rsidR="002E3202" w:rsidRDefault="00391FE7">
            <w:pPr>
              <w:jc w:val="right"/>
            </w:pPr>
            <w:r>
              <w:t>398.816</w:t>
            </w:r>
          </w:p>
        </w:tc>
        <w:tc>
          <w:tcPr>
            <w:tcW w:w="1632" w:type="dxa"/>
            <w:vAlign w:val="top"/>
          </w:tcPr>
          <w:p w:rsidR="002E3202" w:rsidRDefault="00391FE7">
            <w:pPr>
              <w:jc w:val="right"/>
            </w:pPr>
            <w:r>
              <w:t>1.022.689</w:t>
            </w:r>
          </w:p>
        </w:tc>
        <w:tc>
          <w:tcPr>
            <w:tcW w:w="1632" w:type="dxa"/>
            <w:vAlign w:val="top"/>
          </w:tcPr>
          <w:p w:rsidR="002E3202" w:rsidRDefault="00391FE7">
            <w:pPr>
              <w:jc w:val="right"/>
            </w:pPr>
            <w:r>
              <w:t>1.425.000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139,3</w:t>
            </w:r>
          </w:p>
        </w:tc>
      </w:tr>
    </w:tbl>
    <w:p w:rsidR="002E3202" w:rsidRDefault="002E3202">
      <w:pPr>
        <w:jc w:val="left"/>
      </w:pPr>
    </w:p>
    <w:p w:rsidR="002E3202" w:rsidRDefault="00391FE7">
      <w:r>
        <w:t xml:space="preserve">Ministarstvo mora, prometa i infrastrukture u suradnji s pomorskim administracijama zemalja jadransko-jonske regije provodi projekt „Adriatic - Ionian Joint Approach for Development and Harmonisation of Procedures and Regulations in the Field of Navigation Safety - EUREKA“ koji je odobren za sufinanciranje iz okvira Interreg V-B Adriatic-Ionian ADRION programa. Projekt EUREKA usklađen je s mjerama EUSAIR Strategije i pripadajućeg Akcijskog plana, a njegov cilj je podizanje razine sigurnosti plovidbe i zaštite mora u jadransko - jonskoj regiji. Projekt EUREKA započeo je 1. prosinca 2020. godine, a završio je 30. rujna 2023. godine. </w:t>
      </w:r>
    </w:p>
    <w:p w:rsidR="002E3202" w:rsidRDefault="00391FE7">
      <w:r>
        <w:t xml:space="preserve">Ministarstvo mora, prometa i infrastrukture bilo je vodeći projektni partner, a u njemu sudjeluju pomorske administracije nadležne za sigurnost plovidbe jadransko - jonskih zemalja, i to: Italije, Slovenije, Grčke, Crne Gore i Albanije, te Pomorski fakultet u Rijeci i Univerzitet Crne Gore. Pridruženi projektni partner je Ministarstvo komunikacija i prometa Bosne i Hercegovine. </w:t>
      </w:r>
    </w:p>
    <w:p w:rsidR="002E3202" w:rsidRDefault="00391FE7">
      <w:r>
        <w:t xml:space="preserve">EUREKA predstavlja projekt od strateške važnosti za unaprjeđenje sigurnosti pomorskog prometa u području Jadransko-jonske regije, u okviru čije provedbe su izvršene sve ključne planirane projektne aktivnosti koje se odnose na osnivanje stalne transnacionalne mreže za sigurnost plovidbe, modernizaciju sustava obveznog javljanja brodova u Jadranskom moru ADRIREP s prijedlogom nove rezolucije Međunarodnoj pomorskoj organizaciji (IMO) i novoga pojednostavnjenog tehnološkog rješenja izvješćivanja, razmjenu podataka o pomorskom prometu od značaja za sigurnost plovidbe između zemalja jadransko - jonskog područja i standardizaciju usluga sigurnosti plovidbe i VTS usluga u ovom morskom prostoru. </w:t>
      </w:r>
    </w:p>
    <w:p w:rsidR="002E3202" w:rsidRDefault="00391FE7">
      <w:r>
        <w:t>Sredstva koja su na ovoj aktivnosti planirana u 2024. godini odnose se isključivo na isplate prema projektnim partnerima koje mora izvršiti Ministarstvo mora, prometa i infrastrukture kao vodeći projektni partner, a po primitku sredstava iz programa predvidivo u prvom kvartalu 2024. godine.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Podizanje razine sigurnosti pomorskog prometa i zaštite morskog okoliša u jadransko-jonskoj regiji</w:t>
            </w:r>
          </w:p>
        </w:tc>
        <w:tc>
          <w:tcPr>
            <w:tcW w:w="2245" w:type="dxa"/>
            <w:vAlign w:val="top"/>
          </w:tcPr>
          <w:p w:rsidR="002E3202" w:rsidRDefault="00391FE7">
            <w:pPr>
              <w:pStyle w:val="CellColumn"/>
              <w:jc w:val="left"/>
            </w:pPr>
            <w:r>
              <w:rPr>
                <w:rFonts w:cs="Times New Roman"/>
              </w:rPr>
              <w:t>Modernizacija sustava obveznog javljanja brodova u Jadranskom moru ADRIREP, razmjena podataka o pomorskom prometu od značaja za sigurnost plovidbe između zemalja jadransko-jonskog područja i standardizacija usluga sigurnosti plovidbe na ovom morskom području.</w:t>
            </w:r>
          </w:p>
        </w:tc>
        <w:tc>
          <w:tcPr>
            <w:tcW w:w="918" w:type="dxa"/>
          </w:tcPr>
          <w:p w:rsidR="002E3202" w:rsidRDefault="00391FE7">
            <w:pPr>
              <w:jc w:val="center"/>
            </w:pPr>
            <w:r>
              <w:t>%</w:t>
            </w:r>
          </w:p>
        </w:tc>
        <w:tc>
          <w:tcPr>
            <w:tcW w:w="918" w:type="dxa"/>
          </w:tcPr>
          <w:p w:rsidR="002E3202" w:rsidRDefault="00391FE7">
            <w:pPr>
              <w:jc w:val="center"/>
            </w:pPr>
            <w:r>
              <w:t>99</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2E3202">
            <w:pPr>
              <w:jc w:val="left"/>
            </w:pPr>
          </w:p>
        </w:tc>
        <w:tc>
          <w:tcPr>
            <w:tcW w:w="918" w:type="dxa"/>
          </w:tcPr>
          <w:p w:rsidR="002E3202" w:rsidRDefault="002E3202">
            <w:pPr>
              <w:jc w:val="left"/>
            </w:pPr>
          </w:p>
        </w:tc>
      </w:tr>
    </w:tbl>
    <w:p w:rsidR="002E3202" w:rsidRDefault="002E3202">
      <w:pPr>
        <w:jc w:val="left"/>
      </w:pPr>
    </w:p>
    <w:p w:rsidR="002E3202" w:rsidRDefault="00391FE7">
      <w:pPr>
        <w:pStyle w:val="Heading3"/>
      </w:pPr>
      <w:r>
        <w:rPr>
          <w:rFonts w:cs="Times New Roman"/>
        </w:rPr>
        <w:t>3110 IZGRADNJA I ODRŽAVANJE CESTOVNE INFRASTRUKTURE</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3110</w:t>
            </w:r>
          </w:p>
        </w:tc>
        <w:tc>
          <w:tcPr>
            <w:tcW w:w="1632" w:type="dxa"/>
          </w:tcPr>
          <w:p w:rsidR="002E3202" w:rsidRDefault="00391FE7">
            <w:pPr>
              <w:jc w:val="right"/>
            </w:pPr>
            <w:r>
              <w:t>394.793.114</w:t>
            </w:r>
          </w:p>
        </w:tc>
        <w:tc>
          <w:tcPr>
            <w:tcW w:w="1632" w:type="dxa"/>
          </w:tcPr>
          <w:p w:rsidR="002E3202" w:rsidRDefault="00391FE7">
            <w:pPr>
              <w:jc w:val="right"/>
            </w:pPr>
            <w:r>
              <w:t>441.582.783</w:t>
            </w:r>
          </w:p>
        </w:tc>
        <w:tc>
          <w:tcPr>
            <w:tcW w:w="1632" w:type="dxa"/>
          </w:tcPr>
          <w:p w:rsidR="002E3202" w:rsidRDefault="00391FE7">
            <w:pPr>
              <w:jc w:val="right"/>
            </w:pPr>
            <w:r>
              <w:t>436.820.735</w:t>
            </w:r>
          </w:p>
        </w:tc>
        <w:tc>
          <w:tcPr>
            <w:tcW w:w="1632" w:type="dxa"/>
          </w:tcPr>
          <w:p w:rsidR="002E3202" w:rsidRDefault="00391FE7">
            <w:pPr>
              <w:jc w:val="right"/>
            </w:pPr>
            <w:r>
              <w:t>435.094.008</w:t>
            </w:r>
          </w:p>
        </w:tc>
        <w:tc>
          <w:tcPr>
            <w:tcW w:w="1632" w:type="dxa"/>
          </w:tcPr>
          <w:p w:rsidR="002E3202" w:rsidRDefault="00391FE7">
            <w:pPr>
              <w:jc w:val="right"/>
            </w:pPr>
            <w:r>
              <w:t>451.752.208</w:t>
            </w:r>
          </w:p>
        </w:tc>
        <w:tc>
          <w:tcPr>
            <w:tcW w:w="510" w:type="dxa"/>
          </w:tcPr>
          <w:p w:rsidR="002E3202" w:rsidRDefault="00391FE7">
            <w:pPr>
              <w:jc w:val="right"/>
            </w:pPr>
            <w:r>
              <w:t>98,9</w:t>
            </w:r>
          </w:p>
        </w:tc>
      </w:tr>
    </w:tbl>
    <w:p w:rsidR="002E3202" w:rsidRDefault="002E3202">
      <w:pPr>
        <w:jc w:val="left"/>
      </w:pPr>
    </w:p>
    <w:p w:rsidR="002E3202" w:rsidRDefault="00391FE7">
      <w:pPr>
        <w:pStyle w:val="Heading8"/>
        <w:jc w:val="left"/>
      </w:pPr>
      <w:r>
        <w:t>Cilj 1. Razvijen sustav cestovnog prometa</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Smanjenje udjela cesta s lošim i vrlo lošim stanjem kolnika</w:t>
            </w:r>
          </w:p>
        </w:tc>
        <w:tc>
          <w:tcPr>
            <w:tcW w:w="2245" w:type="dxa"/>
            <w:vAlign w:val="top"/>
          </w:tcPr>
          <w:p w:rsidR="002E3202" w:rsidRDefault="00391FE7">
            <w:pPr>
              <w:pStyle w:val="CellColumn"/>
              <w:jc w:val="left"/>
            </w:pPr>
            <w:r>
              <w:rPr>
                <w:rFonts w:cs="Times New Roman"/>
              </w:rPr>
              <w:t>Smanjenjem udjela cesta s lošim i vrlo lošim stanjem kolnika povećava se sigurnost i kvaliteta u odvijanju cestovnog prometa</w:t>
            </w:r>
          </w:p>
        </w:tc>
        <w:tc>
          <w:tcPr>
            <w:tcW w:w="918" w:type="dxa"/>
          </w:tcPr>
          <w:p w:rsidR="002E3202" w:rsidRDefault="00391FE7">
            <w:pPr>
              <w:jc w:val="center"/>
            </w:pPr>
            <w:r>
              <w:t>%</w:t>
            </w:r>
          </w:p>
        </w:tc>
        <w:tc>
          <w:tcPr>
            <w:tcW w:w="918" w:type="dxa"/>
          </w:tcPr>
          <w:p w:rsidR="002E3202" w:rsidRDefault="00391FE7">
            <w:pPr>
              <w:jc w:val="center"/>
            </w:pPr>
            <w:r>
              <w:t>27</w:t>
            </w:r>
          </w:p>
        </w:tc>
        <w:tc>
          <w:tcPr>
            <w:tcW w:w="918" w:type="dxa"/>
          </w:tcPr>
          <w:p w:rsidR="002E3202" w:rsidRDefault="00391FE7">
            <w:pPr>
              <w:pStyle w:val="CellColumn"/>
              <w:jc w:val="center"/>
            </w:pPr>
            <w:r>
              <w:rPr>
                <w:rFonts w:cs="Times New Roman"/>
              </w:rPr>
              <w:t>Hrvatske ceste d.o.o.</w:t>
            </w:r>
          </w:p>
        </w:tc>
        <w:tc>
          <w:tcPr>
            <w:tcW w:w="918" w:type="dxa"/>
          </w:tcPr>
          <w:p w:rsidR="002E3202" w:rsidRDefault="00391FE7">
            <w:pPr>
              <w:jc w:val="center"/>
            </w:pPr>
            <w:r>
              <w:t>27</w:t>
            </w:r>
          </w:p>
        </w:tc>
        <w:tc>
          <w:tcPr>
            <w:tcW w:w="918" w:type="dxa"/>
          </w:tcPr>
          <w:p w:rsidR="002E3202" w:rsidRDefault="00391FE7">
            <w:pPr>
              <w:jc w:val="center"/>
            </w:pPr>
            <w:r>
              <w:t>26</w:t>
            </w:r>
          </w:p>
        </w:tc>
        <w:tc>
          <w:tcPr>
            <w:tcW w:w="918" w:type="dxa"/>
          </w:tcPr>
          <w:p w:rsidR="002E3202" w:rsidRDefault="00391FE7">
            <w:pPr>
              <w:jc w:val="center"/>
            </w:pPr>
            <w:r>
              <w:t>26</w:t>
            </w:r>
          </w:p>
        </w:tc>
      </w:tr>
    </w:tbl>
    <w:p w:rsidR="002E3202" w:rsidRDefault="002E3202">
      <w:pPr>
        <w:jc w:val="left"/>
      </w:pPr>
    </w:p>
    <w:p w:rsidR="002E3202" w:rsidRDefault="00391FE7">
      <w:pPr>
        <w:pStyle w:val="Heading4"/>
      </w:pPr>
      <w:r>
        <w:t>A570504 NAKNADA U CIJENI GORIVA ZA HAC D.O.O.</w:t>
      </w:r>
    </w:p>
    <w:p w:rsidR="002E3202" w:rsidRDefault="00391FE7">
      <w:pPr>
        <w:pStyle w:val="Heading8"/>
        <w:jc w:val="left"/>
      </w:pPr>
      <w:r>
        <w:t>Zakonske i druge pravne osnove</w:t>
      </w:r>
    </w:p>
    <w:p w:rsidR="002E3202" w:rsidRDefault="00391FE7">
      <w:r>
        <w:t>- Zakon o cestama, članak 91.</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A570504</w:t>
            </w:r>
          </w:p>
        </w:tc>
        <w:tc>
          <w:tcPr>
            <w:tcW w:w="1632" w:type="dxa"/>
            <w:vAlign w:val="top"/>
          </w:tcPr>
          <w:p w:rsidR="002E3202" w:rsidRDefault="00391FE7">
            <w:pPr>
              <w:jc w:val="right"/>
            </w:pPr>
            <w:r>
              <w:t>56.672.639</w:t>
            </w:r>
          </w:p>
        </w:tc>
        <w:tc>
          <w:tcPr>
            <w:tcW w:w="1632" w:type="dxa"/>
            <w:vAlign w:val="top"/>
          </w:tcPr>
          <w:p w:rsidR="002E3202" w:rsidRDefault="00391FE7">
            <w:pPr>
              <w:jc w:val="right"/>
            </w:pPr>
            <w:r>
              <w:t>54.212.866</w:t>
            </w:r>
          </w:p>
        </w:tc>
        <w:tc>
          <w:tcPr>
            <w:tcW w:w="1632" w:type="dxa"/>
            <w:vAlign w:val="top"/>
          </w:tcPr>
          <w:p w:rsidR="002E3202" w:rsidRDefault="00391FE7">
            <w:pPr>
              <w:jc w:val="right"/>
            </w:pPr>
            <w:r>
              <w:t>56.000.000</w:t>
            </w:r>
          </w:p>
        </w:tc>
        <w:tc>
          <w:tcPr>
            <w:tcW w:w="1632" w:type="dxa"/>
            <w:vAlign w:val="top"/>
          </w:tcPr>
          <w:p w:rsidR="002E3202" w:rsidRDefault="00391FE7">
            <w:pPr>
              <w:jc w:val="right"/>
            </w:pPr>
            <w:r>
              <w:t>56.000.000</w:t>
            </w:r>
          </w:p>
        </w:tc>
        <w:tc>
          <w:tcPr>
            <w:tcW w:w="1632" w:type="dxa"/>
            <w:vAlign w:val="top"/>
          </w:tcPr>
          <w:p w:rsidR="002E3202" w:rsidRDefault="00391FE7">
            <w:pPr>
              <w:jc w:val="right"/>
            </w:pPr>
            <w:r>
              <w:t>56.000.000</w:t>
            </w:r>
          </w:p>
        </w:tc>
        <w:tc>
          <w:tcPr>
            <w:tcW w:w="510" w:type="dxa"/>
            <w:vAlign w:val="top"/>
          </w:tcPr>
          <w:p w:rsidR="002E3202" w:rsidRDefault="00391FE7">
            <w:pPr>
              <w:jc w:val="right"/>
            </w:pPr>
            <w:r>
              <w:t>103,3</w:t>
            </w:r>
          </w:p>
        </w:tc>
      </w:tr>
    </w:tbl>
    <w:p w:rsidR="002E3202" w:rsidRDefault="002E3202">
      <w:pPr>
        <w:jc w:val="left"/>
      </w:pPr>
    </w:p>
    <w:p w:rsidR="002E3202" w:rsidRDefault="00391FE7">
      <w:r>
        <w:t xml:space="preserve">Temeljem Zakona o cestama, na račun Hrvatskih autocesta d.o.o. uplaćuje se naknada u cijeni goriva po litri naplaćene trošarine na energente u iznosu od 0,03 eura za financiranje građenja i održavanja javnih cesta te povrat kredita. Naknada se isplaćuje najviše do iznosa koji je za te namjene osiguran u državnom proračunu za pojedinu proračunsku godinu. Navedena aktivnost provodi se kontinuirano dok postoji zakonska obveza.  </w:t>
      </w:r>
    </w:p>
    <w:p w:rsidR="002E3202" w:rsidRDefault="00391FE7">
      <w:r>
        <w:t xml:space="preserve">Hrvatske autoceste d.o.o. planiraju u narednom trogodišnjem razdoblju sredstva utrošiti na sljedeće aktivnosti: investicije u izgradnju autocesta, izvanredno održavanje autocesta te troškove financijskih izdataka za servisiranje dugova.  </w:t>
      </w:r>
    </w:p>
    <w:p w:rsidR="002E3202" w:rsidRDefault="00391FE7">
      <w:r>
        <w:t xml:space="preserve">Planirana proračunska sredstva od naknade u cijeni goriva za HAC d.o.o., sukladno namjeni, a prema Zakonu o cestama po godinama, iskoristit će se za financiranje kako slijedi:  </w:t>
      </w:r>
    </w:p>
    <w:p w:rsidR="002E3202" w:rsidRDefault="00391FE7">
      <w:r>
        <w:t xml:space="preserve">- u 2024. godini od ukupno planiranih 56.000.000 eura:  </w:t>
      </w:r>
    </w:p>
    <w:p w:rsidR="002E3202" w:rsidRDefault="00391FE7">
      <w:r>
        <w:t xml:space="preserve">   - izgradnja autocesta, uključivo aktivnosti projektiranja, nadzora i otkupa zemljišta, u iznosu od 11.064.500 eura </w:t>
      </w:r>
    </w:p>
    <w:p w:rsidR="002E3202" w:rsidRDefault="00391FE7">
      <w:r>
        <w:t xml:space="preserve">   - izvanredno održavanje autocesta u iznosu od 24.935.500 eura  </w:t>
      </w:r>
    </w:p>
    <w:p w:rsidR="002E3202" w:rsidRDefault="00391FE7">
      <w:r>
        <w:t xml:space="preserve">   - otplata glavnica kredita u iznosu od 20.000.000 eura </w:t>
      </w:r>
    </w:p>
    <w:p w:rsidR="002E3202" w:rsidRDefault="00391FE7">
      <w:r>
        <w:t xml:space="preserve">- u 2025. godini od ukupno planiranih 56.000.000 eura:  </w:t>
      </w:r>
    </w:p>
    <w:p w:rsidR="002E3202" w:rsidRDefault="00391FE7">
      <w:r>
        <w:t xml:space="preserve">   - izgradnja autocesta, uključivo aktivnosti projektiranja, nadzora i otkupa zemljišta, u iznosu od 16.000.000 eura   </w:t>
      </w:r>
    </w:p>
    <w:p w:rsidR="002E3202" w:rsidRDefault="00391FE7">
      <w:r>
        <w:t xml:space="preserve">   - izvanredno održavanje autocesta u iznosu od 25.000.000 eura </w:t>
      </w:r>
    </w:p>
    <w:p w:rsidR="002E3202" w:rsidRDefault="00391FE7">
      <w:r>
        <w:t xml:space="preserve">   - otplata glavnica kredita u iznosu od 15.000.000 eura </w:t>
      </w:r>
    </w:p>
    <w:p w:rsidR="002E3202" w:rsidRDefault="00391FE7">
      <w:r>
        <w:t xml:space="preserve">- u 2026. godini od ukupno planiranih 56.000.000 eura:  </w:t>
      </w:r>
    </w:p>
    <w:p w:rsidR="002E3202" w:rsidRDefault="00391FE7">
      <w:r>
        <w:t xml:space="preserve">   - izgradnja autocesta, uključivo aktivnosti projektiranja, nadzora i otkupa zemljišta, u iznosu od 16.000.000 eura  </w:t>
      </w:r>
    </w:p>
    <w:p w:rsidR="002E3202" w:rsidRDefault="00391FE7">
      <w:r>
        <w:t xml:space="preserve">   - izvanredno održavanje autocesta u iznosu od 25.000.000 eura  </w:t>
      </w:r>
    </w:p>
    <w:p w:rsidR="002E3202" w:rsidRDefault="00391FE7">
      <w:r>
        <w:t xml:space="preserve">   - otplata glavnica kredita u iznosu od 15.000.000 eura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36"/>
        <w:gridCol w:w="936"/>
        <w:gridCol w:w="944"/>
        <w:gridCol w:w="936"/>
        <w:gridCol w:w="936"/>
        <w:gridCol w:w="936"/>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Broj kilometara novoizgrađenih autocesta i državnih cesta u nadležnosti HAC-a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Ministarstvo uplaćuje sredstva HAC-u temeljem Zakona o cestama te su sredstva namijenjena za izgradnju autocesta i državnih cesta</w:t>
            </w:r>
          </w:p>
        </w:tc>
        <w:tc>
          <w:tcPr>
            <w:tcW w:w="918" w:type="dxa"/>
          </w:tcPr>
          <w:p w:rsidR="002E3202" w:rsidRDefault="00391FE7">
            <w:pPr>
              <w:jc w:val="center"/>
            </w:pPr>
            <w:r>
              <w:t>km</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 xml:space="preserve">Upravitelj autocesta    </w:t>
            </w:r>
          </w:p>
          <w:p w:rsidR="002E3202" w:rsidRDefault="00391FE7">
            <w:pPr>
              <w:pStyle w:val="CellColumn"/>
              <w:jc w:val="center"/>
            </w:pPr>
            <w:r>
              <w:rPr>
                <w:rFonts w:cs="Times New Roman"/>
              </w:rPr>
              <w:t>(HAC)</w:t>
            </w:r>
          </w:p>
        </w:tc>
        <w:tc>
          <w:tcPr>
            <w:tcW w:w="918" w:type="dxa"/>
          </w:tcPr>
          <w:p w:rsidR="002E3202" w:rsidRDefault="00391FE7">
            <w:pPr>
              <w:jc w:val="center"/>
            </w:pPr>
            <w:r>
              <w:t>11</w:t>
            </w:r>
          </w:p>
        </w:tc>
        <w:tc>
          <w:tcPr>
            <w:tcW w:w="918" w:type="dxa"/>
          </w:tcPr>
          <w:p w:rsidR="002E3202" w:rsidRDefault="00391FE7">
            <w:pPr>
              <w:jc w:val="center"/>
            </w:pPr>
            <w:r>
              <w:t>5,6</w:t>
            </w:r>
          </w:p>
        </w:tc>
        <w:tc>
          <w:tcPr>
            <w:tcW w:w="918" w:type="dxa"/>
          </w:tcPr>
          <w:p w:rsidR="002E3202" w:rsidRDefault="00391FE7">
            <w:pPr>
              <w:jc w:val="center"/>
            </w:pPr>
            <w:r>
              <w:t>9,8</w:t>
            </w:r>
          </w:p>
        </w:tc>
      </w:tr>
      <w:tr w:rsidR="002E3202">
        <w:trPr>
          <w:jc w:val="center"/>
        </w:trPr>
        <w:tc>
          <w:tcPr>
            <w:tcW w:w="2245" w:type="dxa"/>
            <w:vAlign w:val="top"/>
          </w:tcPr>
          <w:p w:rsidR="002E3202" w:rsidRDefault="00391FE7">
            <w:pPr>
              <w:pStyle w:val="CellColumn"/>
              <w:jc w:val="left"/>
            </w:pPr>
            <w:r>
              <w:rPr>
                <w:rFonts w:cs="Times New Roman"/>
              </w:rPr>
              <w:t xml:space="preserve">Broj kilometara investicijski održavanih autocesta u nadležnosti HAC-a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Ministarstvo uplaćuje sredstva HAC-u temeljem Zakona o cestama te su sredstva namijenjena za održavanje autocesta</w:t>
            </w:r>
          </w:p>
        </w:tc>
        <w:tc>
          <w:tcPr>
            <w:tcW w:w="918" w:type="dxa"/>
          </w:tcPr>
          <w:p w:rsidR="002E3202" w:rsidRDefault="00391FE7">
            <w:pPr>
              <w:jc w:val="center"/>
            </w:pPr>
            <w:r>
              <w:t>km</w:t>
            </w:r>
          </w:p>
        </w:tc>
        <w:tc>
          <w:tcPr>
            <w:tcW w:w="918" w:type="dxa"/>
          </w:tcPr>
          <w:p w:rsidR="002E3202" w:rsidRDefault="00391FE7">
            <w:pPr>
              <w:jc w:val="center"/>
            </w:pPr>
            <w:r>
              <w:t>37</w:t>
            </w:r>
          </w:p>
        </w:tc>
        <w:tc>
          <w:tcPr>
            <w:tcW w:w="918" w:type="dxa"/>
          </w:tcPr>
          <w:p w:rsidR="002E3202" w:rsidRDefault="00391FE7">
            <w:pPr>
              <w:pStyle w:val="CellColumn"/>
              <w:jc w:val="center"/>
            </w:pPr>
            <w:r>
              <w:rPr>
                <w:rFonts w:cs="Times New Roman"/>
              </w:rPr>
              <w:t xml:space="preserve">Upravitelj autocesta   </w:t>
            </w:r>
          </w:p>
          <w:p w:rsidR="002E3202" w:rsidRDefault="00391FE7">
            <w:pPr>
              <w:pStyle w:val="CellColumn"/>
              <w:jc w:val="center"/>
            </w:pPr>
            <w:r>
              <w:rPr>
                <w:rFonts w:cs="Times New Roman"/>
              </w:rPr>
              <w:t>(HAC)</w:t>
            </w:r>
          </w:p>
        </w:tc>
        <w:tc>
          <w:tcPr>
            <w:tcW w:w="918" w:type="dxa"/>
          </w:tcPr>
          <w:p w:rsidR="002E3202" w:rsidRDefault="00391FE7">
            <w:pPr>
              <w:jc w:val="center"/>
            </w:pPr>
            <w:r>
              <w:t>58</w:t>
            </w:r>
          </w:p>
        </w:tc>
        <w:tc>
          <w:tcPr>
            <w:tcW w:w="918" w:type="dxa"/>
          </w:tcPr>
          <w:p w:rsidR="002E3202" w:rsidRDefault="00391FE7">
            <w:pPr>
              <w:jc w:val="center"/>
            </w:pPr>
            <w:r>
              <w:t>50</w:t>
            </w:r>
          </w:p>
        </w:tc>
        <w:tc>
          <w:tcPr>
            <w:tcW w:w="918" w:type="dxa"/>
          </w:tcPr>
          <w:p w:rsidR="002E3202" w:rsidRDefault="00391FE7">
            <w:pPr>
              <w:jc w:val="center"/>
            </w:pPr>
            <w:r>
              <w:t>30</w:t>
            </w:r>
          </w:p>
        </w:tc>
      </w:tr>
    </w:tbl>
    <w:p w:rsidR="002E3202" w:rsidRDefault="002E3202">
      <w:pPr>
        <w:jc w:val="left"/>
      </w:pPr>
    </w:p>
    <w:p w:rsidR="002E3202" w:rsidRDefault="00391FE7">
      <w:pPr>
        <w:pStyle w:val="Heading4"/>
      </w:pPr>
      <w:r>
        <w:t>A570506 NAKNADA U CIJENI GORIVA ZA HC D.O.O.</w:t>
      </w:r>
    </w:p>
    <w:p w:rsidR="002E3202" w:rsidRDefault="00391FE7">
      <w:pPr>
        <w:pStyle w:val="Heading8"/>
        <w:jc w:val="left"/>
      </w:pPr>
      <w:r>
        <w:t>Zakonske i druge pravne osnove</w:t>
      </w:r>
    </w:p>
    <w:p w:rsidR="002E3202" w:rsidRDefault="00391FE7">
      <w:r>
        <w:t>- Zakon o cestama, članak 91.</w:t>
      </w:r>
    </w:p>
    <w:tbl>
      <w:tblPr>
        <w:tblStyle w:val="StilTablice"/>
        <w:tblW w:w="10206" w:type="dxa"/>
        <w:jc w:val="center"/>
        <w:tblLook w:val="04A0" w:firstRow="1" w:lastRow="0" w:firstColumn="1" w:lastColumn="0" w:noHBand="0" w:noVBand="1"/>
      </w:tblPr>
      <w:tblGrid>
        <w:gridCol w:w="1441"/>
        <w:gridCol w:w="1559"/>
        <w:gridCol w:w="1559"/>
        <w:gridCol w:w="1559"/>
        <w:gridCol w:w="1559"/>
        <w:gridCol w:w="155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A570506</w:t>
            </w:r>
          </w:p>
        </w:tc>
        <w:tc>
          <w:tcPr>
            <w:tcW w:w="1632" w:type="dxa"/>
            <w:vAlign w:val="top"/>
          </w:tcPr>
          <w:p w:rsidR="002E3202" w:rsidRDefault="00391FE7">
            <w:pPr>
              <w:jc w:val="right"/>
            </w:pPr>
            <w:r>
              <w:t>272.794.611</w:t>
            </w:r>
          </w:p>
        </w:tc>
        <w:tc>
          <w:tcPr>
            <w:tcW w:w="1632" w:type="dxa"/>
            <w:vAlign w:val="top"/>
          </w:tcPr>
          <w:p w:rsidR="002E3202" w:rsidRDefault="00391FE7">
            <w:pPr>
              <w:jc w:val="right"/>
            </w:pPr>
            <w:r>
              <w:t>318.121.176</w:t>
            </w:r>
          </w:p>
        </w:tc>
        <w:tc>
          <w:tcPr>
            <w:tcW w:w="1632" w:type="dxa"/>
            <w:vAlign w:val="top"/>
          </w:tcPr>
          <w:p w:rsidR="002E3202" w:rsidRDefault="00391FE7">
            <w:pPr>
              <w:jc w:val="right"/>
            </w:pPr>
            <w:r>
              <w:t>318.121.176</w:t>
            </w:r>
          </w:p>
        </w:tc>
        <w:tc>
          <w:tcPr>
            <w:tcW w:w="1632" w:type="dxa"/>
            <w:vAlign w:val="top"/>
          </w:tcPr>
          <w:p w:rsidR="002E3202" w:rsidRDefault="00391FE7">
            <w:pPr>
              <w:jc w:val="right"/>
            </w:pPr>
            <w:r>
              <w:t>318.121.176</w:t>
            </w:r>
          </w:p>
        </w:tc>
        <w:tc>
          <w:tcPr>
            <w:tcW w:w="1632" w:type="dxa"/>
            <w:vAlign w:val="top"/>
          </w:tcPr>
          <w:p w:rsidR="002E3202" w:rsidRDefault="00391FE7">
            <w:pPr>
              <w:jc w:val="right"/>
            </w:pPr>
            <w:r>
              <w:t>318.121.176</w:t>
            </w:r>
          </w:p>
        </w:tc>
        <w:tc>
          <w:tcPr>
            <w:tcW w:w="510" w:type="dxa"/>
            <w:vAlign w:val="top"/>
          </w:tcPr>
          <w:p w:rsidR="002E3202" w:rsidRDefault="00391FE7">
            <w:pPr>
              <w:jc w:val="right"/>
            </w:pPr>
            <w:r>
              <w:t>100,0</w:t>
            </w:r>
          </w:p>
        </w:tc>
      </w:tr>
    </w:tbl>
    <w:p w:rsidR="002E3202" w:rsidRDefault="002E3202">
      <w:pPr>
        <w:jc w:val="left"/>
      </w:pPr>
    </w:p>
    <w:p w:rsidR="002E3202" w:rsidRDefault="00391FE7">
      <w:r>
        <w:t xml:space="preserve">Temeljem Zakona o cestama, naknada za financiranje građenja i održavanja javnih cesta na račun Hrvatskih cesta d.o.o. uplaćuje se naknada u cijeni goriva po litri naplaćene trošarine na energente u iznosu od 0,11 eura, do iznosa planiranog u Proračunu. Navedena aktivnost provodi se kontinuirano dok postoji zakonska obveza/osnova.   </w:t>
      </w:r>
    </w:p>
    <w:p w:rsidR="002E3202" w:rsidRDefault="00391FE7">
      <w:r>
        <w:t xml:space="preserve">Hrvatske ceste d.o.o. planiraju u narednom trogodišnjem razdoblju sredstva utrošiti na sljedeće aktivnosti: investicije u izgradnju državnih cesta, investicijsko održavanje i rekonstrukcija državnih cesta, investicije u nabavu ostale dugotrajne imovine, redovito i izvanredno održavanje državnih cesta, dio troškova upravljanja, sufinanciranje nerazvrstanih cesta, troškovi studija i razvojnih priprema te troškovi financijskih izdataka za servisiranje dugova. Detaljna razrada trošenja sredstava za 2024. godinu po projektima bit će definirana Planom građenja i održavanja državnih cesta za 2024. godinu.  </w:t>
      </w:r>
    </w:p>
    <w:p w:rsidR="002E3202" w:rsidRDefault="00391FE7">
      <w:r>
        <w:t xml:space="preserve">Planirana proračunska sredstva od naknade u cijeni goriva za HC d.o.o. sukladno namjeni definiranoj Zakonom o cestama po godinama, iskoristit će se za financiranje aktivnosti kako slijedi:   </w:t>
      </w:r>
    </w:p>
    <w:p w:rsidR="002E3202" w:rsidRDefault="00391FE7">
      <w:r>
        <w:t xml:space="preserve">- u 2024. godini od ukupno planiranih 318.121.176 eura:  </w:t>
      </w:r>
    </w:p>
    <w:p w:rsidR="002E3202" w:rsidRDefault="00391FE7">
      <w:r>
        <w:t xml:space="preserve">   - izgradnja državnih cesta, uključivo aktivnosti rješavanja imovinsko-pravnih odnosa, projektiranja i nadzora radova, u iznosu od 66.740.176 eura  </w:t>
      </w:r>
    </w:p>
    <w:p w:rsidR="002E3202" w:rsidRDefault="00391FE7">
      <w:r>
        <w:t xml:space="preserve">   - investicijsko održavanje i rekonstrukciju državnih cesta, uključivo troškove rješavanja imovinsko pravnih odnosa, projektiranja i nadzora radova, u iznosu od 45.692.341 eura  </w:t>
      </w:r>
    </w:p>
    <w:p w:rsidR="002E3202" w:rsidRDefault="00391FE7">
      <w:r>
        <w:t xml:space="preserve">   - nabava ostale dugotrajne imovine, u iznosu od 8.446.684 eura </w:t>
      </w:r>
    </w:p>
    <w:p w:rsidR="002E3202" w:rsidRDefault="00391FE7">
      <w:r>
        <w:t xml:space="preserve">   - troškovi redovitog i izvanrednog održavanja državnih cesta, u iznosu od 84.100.000 eura  </w:t>
      </w:r>
    </w:p>
    <w:p w:rsidR="002E3202" w:rsidRDefault="00391FE7">
      <w:r>
        <w:t xml:space="preserve">   - troškovi upravljanja, u iznosu od 48.696.975 eura  </w:t>
      </w:r>
    </w:p>
    <w:p w:rsidR="002E3202" w:rsidRDefault="00391FE7">
      <w:r>
        <w:t xml:space="preserve">   - sufinanciranje nerazvrstanih cesta, u iznosu od 2.000.000 eura  </w:t>
      </w:r>
    </w:p>
    <w:p w:rsidR="002E3202" w:rsidRDefault="00391FE7">
      <w:r>
        <w:t xml:space="preserve">   - troškovi studija i razvojnih priprema i uknjižba zemljišta, u iznosu  od 1.000.000 eura  </w:t>
      </w:r>
    </w:p>
    <w:p w:rsidR="002E3202" w:rsidRDefault="00391FE7">
      <w:r>
        <w:t xml:space="preserve">   - troškovi financijskih izdataka za servisiranje dugova, u iznosu od 61.445.000 eura  </w:t>
      </w:r>
    </w:p>
    <w:p w:rsidR="002E3202" w:rsidRDefault="00391FE7">
      <w:r>
        <w:t xml:space="preserve">- u 2025. godini od ukupno planiranih 318.121.176 eura:  </w:t>
      </w:r>
    </w:p>
    <w:p w:rsidR="002E3202" w:rsidRDefault="00391FE7">
      <w:r>
        <w:t xml:space="preserve">- izgradnja državnih cesta, uključivo aktivnosti rješavanja imovinsko-pravnih odnosa, projektiranja i nadzora radova, u iznosu od 64.771.176 eura  </w:t>
      </w:r>
    </w:p>
    <w:p w:rsidR="002E3202" w:rsidRDefault="00391FE7">
      <w:r>
        <w:t xml:space="preserve">- investicijsko održavanje i rekonstrukciju državnih cesta, uključivo troškove rješavanja imovinsko-pravnih odnosa, projektiranja i nadzora radova, u iznosu od 27.350.795 eura  </w:t>
      </w:r>
    </w:p>
    <w:p w:rsidR="002E3202" w:rsidRDefault="00391FE7">
      <w:r>
        <w:t xml:space="preserve">   - nabava ostale dugotrajne imovine, u iznosu od 6.327.000 eura  </w:t>
      </w:r>
    </w:p>
    <w:p w:rsidR="002E3202" w:rsidRDefault="00391FE7">
      <w:r>
        <w:t xml:space="preserve">   - troškovi redovitog i izvanrednog održavanja državnih cesta, u iznosu od 92.160.000 eura  </w:t>
      </w:r>
    </w:p>
    <w:p w:rsidR="002E3202" w:rsidRDefault="00391FE7">
      <w:r>
        <w:t xml:space="preserve">   - troškovi upravljanja, u iznosu od 51.792.205 eura  </w:t>
      </w:r>
    </w:p>
    <w:p w:rsidR="002E3202" w:rsidRDefault="00391FE7">
      <w:r>
        <w:t xml:space="preserve">   - sufinanciranje nerazvrstanih cesta, u iznosu od 2.000.000 eura  </w:t>
      </w:r>
    </w:p>
    <w:p w:rsidR="002E3202" w:rsidRDefault="00391FE7">
      <w:r>
        <w:t xml:space="preserve">   - troškovi studija i razvojnih priprema i uknjižba zemljišta, u iznosu od 1.000.000 eura  </w:t>
      </w:r>
    </w:p>
    <w:p w:rsidR="002E3202" w:rsidRDefault="00391FE7">
      <w:r>
        <w:t xml:space="preserve">   - troškovi financijskih izdataka za servisiranje dugova, u iznosu od 72.720.000 eura  </w:t>
      </w:r>
    </w:p>
    <w:p w:rsidR="002E3202" w:rsidRDefault="00391FE7">
      <w:r>
        <w:t xml:space="preserve">- u 2026. godini od ukupno planiranih 318.121.176 eura:  </w:t>
      </w:r>
    </w:p>
    <w:p w:rsidR="002E3202" w:rsidRDefault="00391FE7">
      <w:r>
        <w:t xml:space="preserve">- izgradnja državnih cesta, uključivo aktivnosti rješavanja imovinsko-pravnih odnosa, projektiranja i nadzora radova, u iznosu od 56.453.441 eura  </w:t>
      </w:r>
    </w:p>
    <w:p w:rsidR="002E3202" w:rsidRDefault="00391FE7">
      <w:r>
        <w:t xml:space="preserve">- investicijsko održavanje i rekonstrukciju državnih cesta, uključivo troškove rješavanja imovinsko-pravnih odnosa, projektiranja i nadzora radova, u iznosu od 20.000.000 eura  </w:t>
      </w:r>
    </w:p>
    <w:p w:rsidR="002E3202" w:rsidRDefault="00391FE7">
      <w:r>
        <w:t xml:space="preserve">   - nabavu ostale dugotrajne imovine, u iznosu od 6.127.000 eura  </w:t>
      </w:r>
    </w:p>
    <w:p w:rsidR="002E3202" w:rsidRDefault="00391FE7">
      <w:r>
        <w:t xml:space="preserve">   - troškovi redovitog i izvanrednog održavanja državnih cesta, u iznosu od 101.030.000 eura  </w:t>
      </w:r>
    </w:p>
    <w:p w:rsidR="002E3202" w:rsidRDefault="00391FE7">
      <w:r>
        <w:t xml:space="preserve">   - troškovi upravljanja, u iznosu 54.300.735 eura </w:t>
      </w:r>
    </w:p>
    <w:p w:rsidR="002E3202" w:rsidRDefault="00391FE7">
      <w:r>
        <w:t xml:space="preserve">   - sufinanciranje nerazvrstanih cesta, u iznosu od 2.000.000 eura  </w:t>
      </w:r>
    </w:p>
    <w:p w:rsidR="002E3202" w:rsidRDefault="00391FE7">
      <w:r>
        <w:t xml:space="preserve">   - troškovi studija i razvojnih priprema i uknjižba zemljišta, u iznosu od 1.000.000 eura   </w:t>
      </w:r>
    </w:p>
    <w:p w:rsidR="002E3202" w:rsidRDefault="00391FE7">
      <w:r>
        <w:t xml:space="preserve">   - troškovi financijskih izdataka za servisiranje dugova, u iznosu od 77.210.000 eura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Broj kilometara novoizgrađenih državnih cesta puštenih u promet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Ministarstvo uplaćuje sredstva HC-u temeljem Zakona o cestama te su sredstva namijenjena za izgradnju državnih cesta</w:t>
            </w:r>
          </w:p>
        </w:tc>
        <w:tc>
          <w:tcPr>
            <w:tcW w:w="918" w:type="dxa"/>
          </w:tcPr>
          <w:p w:rsidR="002E3202" w:rsidRDefault="00391FE7">
            <w:pPr>
              <w:jc w:val="center"/>
            </w:pPr>
            <w:r>
              <w:t>km</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Hrvatske ceste d.o.o.</w:t>
            </w:r>
          </w:p>
        </w:tc>
        <w:tc>
          <w:tcPr>
            <w:tcW w:w="918" w:type="dxa"/>
          </w:tcPr>
          <w:p w:rsidR="002E3202" w:rsidRDefault="00391FE7">
            <w:pPr>
              <w:jc w:val="center"/>
            </w:pPr>
            <w:r>
              <w:t>13,28</w:t>
            </w:r>
          </w:p>
        </w:tc>
        <w:tc>
          <w:tcPr>
            <w:tcW w:w="918" w:type="dxa"/>
          </w:tcPr>
          <w:p w:rsidR="002E3202" w:rsidRDefault="00391FE7">
            <w:pPr>
              <w:jc w:val="center"/>
            </w:pPr>
            <w:r>
              <w:t>28,90</w:t>
            </w:r>
          </w:p>
        </w:tc>
        <w:tc>
          <w:tcPr>
            <w:tcW w:w="918" w:type="dxa"/>
          </w:tcPr>
          <w:p w:rsidR="002E3202" w:rsidRDefault="00391FE7">
            <w:pPr>
              <w:jc w:val="center"/>
            </w:pPr>
            <w:r>
              <w:t>97,42</w:t>
            </w:r>
          </w:p>
        </w:tc>
      </w:tr>
      <w:tr w:rsidR="002E3202">
        <w:trPr>
          <w:jc w:val="center"/>
        </w:trPr>
        <w:tc>
          <w:tcPr>
            <w:tcW w:w="2245" w:type="dxa"/>
            <w:vAlign w:val="top"/>
          </w:tcPr>
          <w:p w:rsidR="002E3202" w:rsidRDefault="00391FE7">
            <w:pPr>
              <w:pStyle w:val="CellColumn"/>
              <w:jc w:val="left"/>
            </w:pPr>
            <w:r>
              <w:rPr>
                <w:rFonts w:cs="Times New Roman"/>
              </w:rPr>
              <w:t xml:space="preserve">Broj kilometara rekonstrukcije i investicijski održavanih državnih cesta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Ministarstvo uplaćuje sredstva HC-u temeljem Zakona o cestama te su sredstva namijenjena za održavanje državnih cesta</w:t>
            </w:r>
          </w:p>
        </w:tc>
        <w:tc>
          <w:tcPr>
            <w:tcW w:w="918" w:type="dxa"/>
          </w:tcPr>
          <w:p w:rsidR="002E3202" w:rsidRDefault="00391FE7">
            <w:pPr>
              <w:jc w:val="center"/>
            </w:pPr>
            <w:r>
              <w:t>km</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Hrvatske ceste d.o.o.</w:t>
            </w:r>
          </w:p>
        </w:tc>
        <w:tc>
          <w:tcPr>
            <w:tcW w:w="918" w:type="dxa"/>
          </w:tcPr>
          <w:p w:rsidR="002E3202" w:rsidRDefault="00391FE7">
            <w:pPr>
              <w:jc w:val="center"/>
            </w:pPr>
            <w:r>
              <w:t>90,00</w:t>
            </w:r>
          </w:p>
        </w:tc>
        <w:tc>
          <w:tcPr>
            <w:tcW w:w="918" w:type="dxa"/>
          </w:tcPr>
          <w:p w:rsidR="002E3202" w:rsidRDefault="00391FE7">
            <w:pPr>
              <w:jc w:val="center"/>
            </w:pPr>
            <w:r>
              <w:t>94,32</w:t>
            </w:r>
          </w:p>
        </w:tc>
        <w:tc>
          <w:tcPr>
            <w:tcW w:w="918" w:type="dxa"/>
          </w:tcPr>
          <w:p w:rsidR="002E3202" w:rsidRDefault="00391FE7">
            <w:pPr>
              <w:jc w:val="center"/>
            </w:pPr>
            <w:r>
              <w:t>94,67</w:t>
            </w:r>
          </w:p>
        </w:tc>
      </w:tr>
    </w:tbl>
    <w:p w:rsidR="002E3202" w:rsidRDefault="002E3202">
      <w:pPr>
        <w:jc w:val="left"/>
      </w:pPr>
    </w:p>
    <w:p w:rsidR="002E3202" w:rsidRDefault="00391FE7">
      <w:pPr>
        <w:pStyle w:val="Heading4"/>
      </w:pPr>
      <w:r>
        <w:t>A587081 SURADNJA S MEĐUNARODNIM ORGANIZACIJAMA I PLANIRANJE RAZVOJA CESTOVNE INFRASTRUKTURE</w:t>
      </w:r>
    </w:p>
    <w:p w:rsidR="002E3202" w:rsidRDefault="00391FE7">
      <w:pPr>
        <w:pStyle w:val="Heading8"/>
        <w:jc w:val="left"/>
      </w:pPr>
      <w:r>
        <w:t>Zakonske i druge pravne osnove</w:t>
      </w:r>
    </w:p>
    <w:p w:rsidR="002E3202" w:rsidRDefault="00391FE7">
      <w:r>
        <w:t xml:space="preserve">- Zakon o cestama, članak 72.b. </w:t>
      </w:r>
    </w:p>
    <w:p w:rsidR="002E3202" w:rsidRDefault="00391FE7">
      <w:r>
        <w:t>- Sporazum između Republike Hrvatske i Europske komisije Ujedinjenih naroda za Europu (ECE) s jedne strane i vlada zemalja sudionica TEM-a s druge strane</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A587081</w:t>
            </w:r>
          </w:p>
        </w:tc>
        <w:tc>
          <w:tcPr>
            <w:tcW w:w="1632" w:type="dxa"/>
            <w:vAlign w:val="top"/>
          </w:tcPr>
          <w:p w:rsidR="002E3202" w:rsidRDefault="00391FE7">
            <w:pPr>
              <w:jc w:val="right"/>
            </w:pPr>
            <w:r>
              <w:t>7.443</w:t>
            </w:r>
          </w:p>
        </w:tc>
        <w:tc>
          <w:tcPr>
            <w:tcW w:w="1632" w:type="dxa"/>
            <w:vAlign w:val="top"/>
          </w:tcPr>
          <w:p w:rsidR="002E3202" w:rsidRDefault="00391FE7">
            <w:pPr>
              <w:jc w:val="right"/>
            </w:pPr>
            <w:r>
              <w:t>1.494.825</w:t>
            </w:r>
          </w:p>
        </w:tc>
        <w:tc>
          <w:tcPr>
            <w:tcW w:w="1632" w:type="dxa"/>
            <w:vAlign w:val="top"/>
          </w:tcPr>
          <w:p w:rsidR="002E3202" w:rsidRDefault="00391FE7">
            <w:pPr>
              <w:jc w:val="right"/>
            </w:pPr>
            <w:r>
              <w:t>1.600.870</w:t>
            </w:r>
          </w:p>
        </w:tc>
        <w:tc>
          <w:tcPr>
            <w:tcW w:w="1632" w:type="dxa"/>
            <w:vAlign w:val="top"/>
          </w:tcPr>
          <w:p w:rsidR="002E3202" w:rsidRDefault="00391FE7">
            <w:pPr>
              <w:jc w:val="right"/>
            </w:pPr>
            <w:r>
              <w:t>1.600.870</w:t>
            </w:r>
          </w:p>
        </w:tc>
        <w:tc>
          <w:tcPr>
            <w:tcW w:w="1632" w:type="dxa"/>
            <w:vAlign w:val="top"/>
          </w:tcPr>
          <w:p w:rsidR="002E3202" w:rsidRDefault="00391FE7">
            <w:pPr>
              <w:jc w:val="right"/>
            </w:pPr>
            <w:r>
              <w:t>1.617.780</w:t>
            </w:r>
          </w:p>
        </w:tc>
        <w:tc>
          <w:tcPr>
            <w:tcW w:w="510" w:type="dxa"/>
            <w:vAlign w:val="top"/>
          </w:tcPr>
          <w:p w:rsidR="002E3202" w:rsidRDefault="00391FE7">
            <w:pPr>
              <w:jc w:val="right"/>
            </w:pPr>
            <w:r>
              <w:t>107,1</w:t>
            </w:r>
          </w:p>
        </w:tc>
      </w:tr>
    </w:tbl>
    <w:p w:rsidR="002E3202" w:rsidRDefault="002E3202">
      <w:pPr>
        <w:jc w:val="left"/>
      </w:pPr>
    </w:p>
    <w:p w:rsidR="002E3202" w:rsidRDefault="00391FE7">
      <w:r>
        <w:t xml:space="preserve">Ministarstvo mora, prometa i infrastrukture kao resorno ministarstvo za poslove cestovne infrastrukture sudjeluje u radu UNECE TEM projekta te plaća članarinu sukladno sklopljenom sporazumu. Članarina trenutno iznosi 7.500 USD godišnje. </w:t>
      </w:r>
    </w:p>
    <w:p w:rsidR="002E3202" w:rsidRDefault="00391FE7">
      <w:r>
        <w:t xml:space="preserve">Sredstvima će se osigurati provedba Nacionalnog plana razvoja biciklističkog prometa za razdoblje 2022. do 2027. godine što uključuje praćenje provedbe, organizaciju Nacionalne biciklističke konferencije i podršku upraviteljima javnih cesta za izgradnju biciklističke infrastrukture. </w:t>
      </w:r>
    </w:p>
    <w:p w:rsidR="002E3202" w:rsidRDefault="00391FE7">
      <w:r>
        <w:t xml:space="preserve">Planirana sredstva u iznosu od 1.327.228 eura za provedbu Nacionalnog plana razvoja biciklističkog prometa za razdoblje od 2022. do 2027. godine biti će utrošena za realizaciju mjere Unaprjeđenje biciklističke infrastrukture, a koja predstavlja jednu od mjera za provedbu posebnog cilja Razvoj klimatski neutralne mobilnosti (Dekarbonizacija prometnog sektora) kroz povećanje korištenja bicikala u svakodnevnim putovanjima, a u sklopu strateškog cilja Ekološka i energetska tranzicija za klimatsku neutralnost. </w:t>
      </w:r>
    </w:p>
    <w:p w:rsidR="002E3202" w:rsidRDefault="00391FE7">
      <w:r>
        <w:t xml:space="preserve">Svrhe provedbe mjere su sljedeće: </w:t>
      </w:r>
    </w:p>
    <w:p w:rsidR="002E3202" w:rsidRDefault="00391FE7">
      <w:r>
        <w:t xml:space="preserve">- unaprjeđenje regulative sukladno smjernicama iz naprednih zemalja, čime će Hrvatska dobiti polazište za razvoj kvalitetne i atraktivne biciklističke infrastrukture. Primjeri dobre prakse, koji bilježe odlične rezultate u drugim državama, ne mogu biti implementirani bez prethodnog definiranja u zakonskim i podzakonskim aktima. Pojedini zakoni i pravilnici godinama čekaju svoju dopunu, a što je potrebno potaknuti i ubrzati pozitivne pomake temeljem dosadašnjih pozitivnih iskustava izradom planova održive urbane mobilnosti (SUMP). Navedene promjene će omogućiti i implementaciju kvalitetne biciklističke infrastrukture tamo gdje to trenutno uvjeti ne omogućavaju, a što će rezultirati većom mogućnošću građana na korištenje bicikla kao čistog i održivog prometnog sredstva. </w:t>
      </w:r>
    </w:p>
    <w:p w:rsidR="002E3202" w:rsidRDefault="00391FE7">
      <w:r>
        <w:t xml:space="preserve">- izgradnja biciklističkih prometnih površina kojima se ostvaruje ključni korak potreban za uključivanje novih korisnika bicikala te osiguravanje mogućnosti za sigurnu i atraktivnu vožnju bicikla svim skupinama građana. Biciklisti početnici, djeca, starije osobe, osobe s invaliditetom, samo su neke od skupina građana kojima izdvojene biciklističke prometne površine predstavljaju osnovni uvjet koji im je potreban prilikom odluke o tome hoće li koristiti bicikl za svoja svakodnevna putovanja. Ulaganja u izgradnju nove biciklističke infrastrukture zahtijevaju sustavan i održiv pristup te značajnija sredstva koja je potrebno osigurati u narednom periodu. </w:t>
      </w:r>
    </w:p>
    <w:p w:rsidR="002E3202" w:rsidRDefault="00391FE7">
      <w:r>
        <w:t>Razvoj inteligentnih prometnih sustava (ITS) u EU se temelji na Direktivi 2010/40/EU koja je u prenesena u nacionalno zakonodavstvo kroz Zakon o cestama. Osnovna obaveza iz direktive je izrada planskog dokumenta za razvoj ITS. Sukladno navedenom u 2024. godini će se izraditi Nacionalni plan za razvoj ITS-a. Za potrebe izrade dokumenta se planiraju koristiti intelektualne usluge u području ITS-a i strateškog planiranja.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Plaćene obveze za članarine u međunarodnim organizacijama</w:t>
            </w:r>
          </w:p>
        </w:tc>
        <w:tc>
          <w:tcPr>
            <w:tcW w:w="2245" w:type="dxa"/>
            <w:vAlign w:val="top"/>
          </w:tcPr>
          <w:p w:rsidR="002E3202" w:rsidRDefault="00391FE7">
            <w:pPr>
              <w:pStyle w:val="CellColumn"/>
              <w:jc w:val="left"/>
            </w:pPr>
            <w:r>
              <w:rPr>
                <w:rFonts w:cs="Times New Roman"/>
              </w:rPr>
              <w:t>Temeljem sporazuma isplaćuje se propisani iznos članarine za sudjelovanje u radu UNECE TEM projekta</w:t>
            </w:r>
          </w:p>
        </w:tc>
        <w:tc>
          <w:tcPr>
            <w:tcW w:w="918" w:type="dxa"/>
          </w:tcPr>
          <w:p w:rsidR="002E3202" w:rsidRDefault="00391FE7">
            <w:pPr>
              <w:jc w:val="center"/>
            </w:pPr>
            <w:r>
              <w:t>%</w:t>
            </w:r>
          </w:p>
        </w:tc>
        <w:tc>
          <w:tcPr>
            <w:tcW w:w="918" w:type="dxa"/>
          </w:tcPr>
          <w:p w:rsidR="002E3202" w:rsidRDefault="00391FE7">
            <w:pPr>
              <w:jc w:val="center"/>
            </w:pPr>
            <w:r>
              <w:t>100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391FE7">
            <w:pPr>
              <w:jc w:val="center"/>
            </w:pPr>
            <w:r>
              <w:t>100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A754005 GODIŠNJA NAKNADA ZA UPORABU JAVNIH CESTA I CESTARINA ZA NAJTEŽE INVALIDE</w:t>
      </w:r>
    </w:p>
    <w:p w:rsidR="002E3202" w:rsidRDefault="00391FE7">
      <w:pPr>
        <w:pStyle w:val="Heading8"/>
        <w:jc w:val="left"/>
      </w:pPr>
      <w:r>
        <w:t>Zakonske i druge pravne osnove</w:t>
      </w:r>
    </w:p>
    <w:p w:rsidR="002E3202" w:rsidRDefault="00391FE7">
      <w:r>
        <w:t>- Zakon o cestama, članak 88.</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A754005</w:t>
            </w:r>
          </w:p>
        </w:tc>
        <w:tc>
          <w:tcPr>
            <w:tcW w:w="1632" w:type="dxa"/>
            <w:vAlign w:val="top"/>
          </w:tcPr>
          <w:p w:rsidR="002E3202" w:rsidRDefault="00391FE7">
            <w:pPr>
              <w:jc w:val="right"/>
            </w:pPr>
            <w:r>
              <w:t>3.302.158</w:t>
            </w:r>
          </w:p>
        </w:tc>
        <w:tc>
          <w:tcPr>
            <w:tcW w:w="1632" w:type="dxa"/>
            <w:vAlign w:val="top"/>
          </w:tcPr>
          <w:p w:rsidR="002E3202" w:rsidRDefault="00391FE7">
            <w:pPr>
              <w:jc w:val="right"/>
            </w:pPr>
            <w:r>
              <w:t>3.450.793</w:t>
            </w:r>
          </w:p>
        </w:tc>
        <w:tc>
          <w:tcPr>
            <w:tcW w:w="1632" w:type="dxa"/>
            <w:vAlign w:val="top"/>
          </w:tcPr>
          <w:p w:rsidR="002E3202" w:rsidRDefault="00391FE7">
            <w:pPr>
              <w:jc w:val="right"/>
            </w:pPr>
            <w:r>
              <w:t>3.318.070</w:t>
            </w:r>
          </w:p>
        </w:tc>
        <w:tc>
          <w:tcPr>
            <w:tcW w:w="1632" w:type="dxa"/>
            <w:vAlign w:val="top"/>
          </w:tcPr>
          <w:p w:rsidR="002E3202" w:rsidRDefault="00391FE7">
            <w:pPr>
              <w:jc w:val="right"/>
            </w:pPr>
            <w:r>
              <w:t>3.318.070</w:t>
            </w:r>
          </w:p>
        </w:tc>
        <w:tc>
          <w:tcPr>
            <w:tcW w:w="1632" w:type="dxa"/>
            <w:vAlign w:val="top"/>
          </w:tcPr>
          <w:p w:rsidR="002E3202" w:rsidRDefault="00391FE7">
            <w:pPr>
              <w:jc w:val="right"/>
            </w:pPr>
            <w:r>
              <w:t>3.318.070</w:t>
            </w:r>
          </w:p>
        </w:tc>
        <w:tc>
          <w:tcPr>
            <w:tcW w:w="510" w:type="dxa"/>
            <w:vAlign w:val="top"/>
          </w:tcPr>
          <w:p w:rsidR="002E3202" w:rsidRDefault="00391FE7">
            <w:pPr>
              <w:jc w:val="right"/>
            </w:pPr>
            <w:r>
              <w:t>96,2</w:t>
            </w:r>
          </w:p>
        </w:tc>
      </w:tr>
    </w:tbl>
    <w:p w:rsidR="002E3202" w:rsidRDefault="002E3202">
      <w:pPr>
        <w:jc w:val="left"/>
      </w:pPr>
    </w:p>
    <w:p w:rsidR="002E3202" w:rsidRDefault="00391FE7">
      <w:r>
        <w:t xml:space="preserve">Sredstva su namijenjena za osiguravanje ostvarivanja prava osoba s invaliditetom (s određenim tjelesnim oštećenjima) propisanih na temelju članka 88. Zakona o cestama. Navedena aktivnost provodi se kontinuirano dok postoji zakonska obveza/osnova.   </w:t>
      </w:r>
    </w:p>
    <w:p w:rsidR="002E3202" w:rsidRDefault="00391FE7">
      <w:r>
        <w:t xml:space="preserve">Naime, osobe s invaliditetom koje imaju određeni stupanj tjelesnog oštećenja ostvaruju pravo na oslobađanje plaćanja godišnje naknade za uporabu javnih cesta koja se plaća pri registraciji osobnog automobila i/ili pravo na oslobađanje plaćanja cestarine za uporabu autocesta i objekata s naplatom (most, tunel, vijadukt i sl.). Ovom aktivnosti osigurava se poticanje mobilnosti osoba s tjelesnim oštećenjem. Zahtjeve za nadoknadama iznosa godišnjih naknada za vozila osoba s invaliditetom Ministarstvo zaprima od upravitelja cesta (županijskih uprava za ceste, njih 21). Zahtjeve za nadoknadama cestarina osoba s invaliditetom Ministarstvo zaprima od upravitelja dionica autocesta (Hrvatske autoceste d.o.o., Autocesta Zagreb - Macelj d.o.o. i Bina-Istra d.d.).  </w:t>
      </w:r>
    </w:p>
    <w:p w:rsidR="002E3202" w:rsidRDefault="00391FE7">
      <w:r>
        <w:t>Sredstva na ovoj stavci planirana su uvažavajući prosječan godišnji broj ostvarenih prava osoba s invaliditetom, a pritom uzimajući u obzir iznos utrošenih sredstava u prethodnom dvogodišnjom razdoblju za financiranje naknade za uporabu javnih cesta i cestarina za najteže invalide.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1"/>
        <w:gridCol w:w="2280"/>
        <w:gridCol w:w="932"/>
        <w:gridCol w:w="932"/>
        <w:gridCol w:w="985"/>
        <w:gridCol w:w="932"/>
        <w:gridCol w:w="932"/>
        <w:gridCol w:w="932"/>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ostvarenih prava na oslobađanje od plaćanja godišnje naknade za uporabu javnih cesta odnosno pravo na oslobađanje od plaćanja cestarine za korištenje dionica autocesta i objekata s naplatom (godišnja vrijednost)</w:t>
            </w:r>
          </w:p>
        </w:tc>
        <w:tc>
          <w:tcPr>
            <w:tcW w:w="2245" w:type="dxa"/>
            <w:vAlign w:val="top"/>
          </w:tcPr>
          <w:p w:rsidR="002E3202" w:rsidRDefault="00391FE7">
            <w:pPr>
              <w:pStyle w:val="CellColumn"/>
              <w:jc w:val="left"/>
            </w:pPr>
            <w:r>
              <w:rPr>
                <w:rFonts w:cs="Times New Roman"/>
              </w:rPr>
              <w:t>Naknada za osobe sa invaliditetom koje su ostvarile pravo na oslobađanje od plaćanja godišnje naknade za uporabu javnih cesta odnosno pravo na oslobađanje od plaćanja cestarine za korištenje dionica autocesta i objekata s naplatom koja se isplaćuje na godišnjoj razini</w:t>
            </w:r>
          </w:p>
        </w:tc>
        <w:tc>
          <w:tcPr>
            <w:tcW w:w="918" w:type="dxa"/>
          </w:tcPr>
          <w:p w:rsidR="002E3202" w:rsidRDefault="00391FE7">
            <w:pPr>
              <w:jc w:val="center"/>
            </w:pPr>
            <w:r>
              <w:t>broj</w:t>
            </w:r>
          </w:p>
        </w:tc>
        <w:tc>
          <w:tcPr>
            <w:tcW w:w="918" w:type="dxa"/>
          </w:tcPr>
          <w:p w:rsidR="002E3202" w:rsidRDefault="00391FE7">
            <w:pPr>
              <w:jc w:val="center"/>
            </w:pPr>
            <w:r>
              <w:t>30.800</w:t>
            </w:r>
          </w:p>
        </w:tc>
        <w:tc>
          <w:tcPr>
            <w:tcW w:w="918" w:type="dxa"/>
          </w:tcPr>
          <w:p w:rsidR="002E3202" w:rsidRDefault="00391FE7">
            <w:pPr>
              <w:pStyle w:val="CellColumn"/>
              <w:jc w:val="center"/>
            </w:pPr>
            <w:r>
              <w:rPr>
                <w:rFonts w:cs="Times New Roman"/>
              </w:rPr>
              <w:t>Podaci upravitelja cesta</w:t>
            </w:r>
          </w:p>
        </w:tc>
        <w:tc>
          <w:tcPr>
            <w:tcW w:w="918" w:type="dxa"/>
          </w:tcPr>
          <w:p w:rsidR="002E3202" w:rsidRDefault="00391FE7">
            <w:pPr>
              <w:jc w:val="center"/>
            </w:pPr>
            <w:r>
              <w:t>32.000</w:t>
            </w:r>
          </w:p>
        </w:tc>
        <w:tc>
          <w:tcPr>
            <w:tcW w:w="918" w:type="dxa"/>
          </w:tcPr>
          <w:p w:rsidR="002E3202" w:rsidRDefault="00391FE7">
            <w:pPr>
              <w:jc w:val="center"/>
            </w:pPr>
            <w:r>
              <w:t>32.500</w:t>
            </w:r>
          </w:p>
        </w:tc>
        <w:tc>
          <w:tcPr>
            <w:tcW w:w="918" w:type="dxa"/>
          </w:tcPr>
          <w:p w:rsidR="002E3202" w:rsidRDefault="00391FE7">
            <w:pPr>
              <w:jc w:val="center"/>
            </w:pPr>
            <w:r>
              <w:t>33.000</w:t>
            </w:r>
          </w:p>
        </w:tc>
      </w:tr>
    </w:tbl>
    <w:p w:rsidR="002E3202" w:rsidRDefault="002E3202">
      <w:pPr>
        <w:jc w:val="left"/>
      </w:pPr>
    </w:p>
    <w:p w:rsidR="002E3202" w:rsidRDefault="00391FE7">
      <w:pPr>
        <w:pStyle w:val="Heading4"/>
      </w:pPr>
      <w:r>
        <w:t>A754061 NAKNADA DIJELA CESTARINE ZA KORIŠTENJE AUTOCESTA I OBJEKATA POD NAPLATOM ZA VOZILA HITNIH SLUŽBI</w:t>
      </w:r>
    </w:p>
    <w:p w:rsidR="002E3202" w:rsidRDefault="00391FE7">
      <w:pPr>
        <w:pStyle w:val="Heading8"/>
        <w:jc w:val="left"/>
      </w:pPr>
      <w:r>
        <w:t>Zakonske i druge pravne osnove</w:t>
      </w:r>
    </w:p>
    <w:p w:rsidR="002E3202" w:rsidRDefault="00391FE7">
      <w:r>
        <w:t xml:space="preserve">- Zakon o sigurnosti prometa na cestama   </w:t>
      </w:r>
    </w:p>
    <w:p w:rsidR="002E3202" w:rsidRDefault="00391FE7">
      <w:r>
        <w:t>- Zakon o cestama</w:t>
      </w:r>
    </w:p>
    <w:tbl>
      <w:tblPr>
        <w:tblStyle w:val="StilTablice"/>
        <w:tblW w:w="10206" w:type="dxa"/>
        <w:jc w:val="center"/>
        <w:tblLook w:val="04A0" w:firstRow="1" w:lastRow="0" w:firstColumn="1" w:lastColumn="0" w:noHBand="0" w:noVBand="1"/>
      </w:tblPr>
      <w:tblGrid>
        <w:gridCol w:w="1478"/>
        <w:gridCol w:w="1566"/>
        <w:gridCol w:w="1542"/>
        <w:gridCol w:w="1550"/>
        <w:gridCol w:w="1550"/>
        <w:gridCol w:w="155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A754061</w:t>
            </w:r>
          </w:p>
        </w:tc>
        <w:tc>
          <w:tcPr>
            <w:tcW w:w="1632" w:type="dxa"/>
            <w:vAlign w:val="top"/>
          </w:tcPr>
          <w:p w:rsidR="002E3202" w:rsidRDefault="00391FE7">
            <w:pPr>
              <w:jc w:val="right"/>
            </w:pPr>
            <w:r>
              <w:t>00</w:t>
            </w:r>
          </w:p>
        </w:tc>
        <w:tc>
          <w:tcPr>
            <w:tcW w:w="1632" w:type="dxa"/>
            <w:vAlign w:val="top"/>
          </w:tcPr>
          <w:p w:rsidR="002E3202" w:rsidRDefault="00391FE7">
            <w:pPr>
              <w:jc w:val="right"/>
            </w:pPr>
            <w:r>
              <w:t>616</w:t>
            </w:r>
          </w:p>
        </w:tc>
        <w:tc>
          <w:tcPr>
            <w:tcW w:w="1632" w:type="dxa"/>
            <w:vAlign w:val="top"/>
          </w:tcPr>
          <w:p w:rsidR="002E3202" w:rsidRDefault="00391FE7">
            <w:pPr>
              <w:jc w:val="right"/>
            </w:pPr>
            <w:r>
              <w:t>85.587</w:t>
            </w:r>
          </w:p>
        </w:tc>
        <w:tc>
          <w:tcPr>
            <w:tcW w:w="1632" w:type="dxa"/>
            <w:vAlign w:val="top"/>
          </w:tcPr>
          <w:p w:rsidR="002E3202" w:rsidRDefault="00391FE7">
            <w:pPr>
              <w:jc w:val="right"/>
            </w:pPr>
            <w:r>
              <w:t>92.906</w:t>
            </w:r>
          </w:p>
        </w:tc>
        <w:tc>
          <w:tcPr>
            <w:tcW w:w="1632" w:type="dxa"/>
            <w:vAlign w:val="top"/>
          </w:tcPr>
          <w:p w:rsidR="002E3202" w:rsidRDefault="00391FE7">
            <w:pPr>
              <w:jc w:val="right"/>
            </w:pPr>
            <w:r>
              <w:t>92.906</w:t>
            </w:r>
          </w:p>
        </w:tc>
        <w:tc>
          <w:tcPr>
            <w:tcW w:w="510" w:type="dxa"/>
            <w:vAlign w:val="top"/>
          </w:tcPr>
          <w:p w:rsidR="002E3202" w:rsidRDefault="00391FE7">
            <w:pPr>
              <w:jc w:val="right"/>
            </w:pPr>
            <w:r>
              <w:t>13894,0</w:t>
            </w:r>
          </w:p>
        </w:tc>
      </w:tr>
    </w:tbl>
    <w:p w:rsidR="002E3202" w:rsidRDefault="002E3202">
      <w:pPr>
        <w:jc w:val="left"/>
      </w:pPr>
    </w:p>
    <w:p w:rsidR="002E3202" w:rsidRDefault="00391FE7">
      <w:r>
        <w:t xml:space="preserve">Navedena aktivnost provodi se kontinuirano dok postoji zakonska obveza/osnova.   </w:t>
      </w:r>
    </w:p>
    <w:p w:rsidR="002E3202" w:rsidRDefault="00391FE7">
      <w:r>
        <w:t xml:space="preserve">Ova proračunska stavka predviđena je za refundiranje poreza na dodanu vrijednost upraviteljima javnih cesta i koncesionarima koje su pod naplatom (Hrvatskim autocestama d.o.o., Autocesti Zagreb-Macelj d.o.o. i Bina-Istri d.d.) za slučajeve prolaska vozila s pravom prednosti prolaska. Prema Zakonu o sigurnosti prometa na cestama to jesu: vozila službe hitne pomoći, vozila sanitetskog prijevoza, vatrogasne službe, civilne zaštite, unutarnjih poslova i vojne policije, osobna vozila kojima se koriste suci i državni odvjetnici za obavljanje očevida povodom kaznenih dijela, službena vozila ovlaštenih carinskih službenika, službena vozila ovlaštenih službenika središnjeg tijela državne uprave nadležnog za zaštitu i spašavanje, službena vozila inspektora cestovnog prometa, službena vozila kriznog stožera ministarstva nadležnog za zdravstvo, vozila gorske službe spašavanja, vozila mobilne jedinice veterinarske inspekcije te vozila ministarstva nadležnog za poslove pravosuđa kojima se prevoze uhićene ili osuđene osobe, kada posebnim uređajima daju svjetlosne ili zvučne znakove.  </w:t>
      </w:r>
    </w:p>
    <w:p w:rsidR="002E3202" w:rsidRDefault="00391FE7">
      <w:r>
        <w:t xml:space="preserve">Zakon o cestama propisuje oslobođenja od plaćanja cestarine samo za vozila osoba s određenim stupnjem invaliditeta. Za vozila hitnih službi, odnosno za vozila s pravom prednosti prolaska oslobođenja od plaćanja cestarine Zakonom o cestama nije propisano. Vozila s pravom prednosti prolaska već dugi niz godina koriste autoceste bez plaćanja cestarine zbog prakse uspostavljene temeljem Zakona o javnim cestama, kojim je za ova vozila bilo propisano da ne plaćaju cestarinu. Zakon o sigurnosti prometa na cestama ne uređuje pitanje plaćanja cestarine za korištenje autoceste vozilima s pravom prednosti prolaska.  </w:t>
      </w:r>
    </w:p>
    <w:p w:rsidR="002E3202" w:rsidRDefault="00391FE7">
      <w:r>
        <w:t xml:space="preserve">Propuštanje policijskih i vatrogasnih vozila, vozila hitne pomoći, saniteta i spasilačkih službi bez naplate cestarine, koje nije temeljeno na jasnoj odredbi propisa, izlaže Hrvatske autoceste d.o.o. i koncesionare riziku primjene poreznih propisa u pogledu obveze obračunavanja i plaćanja poreza na dodanu vrijednost na isporučenu, a nenaplaćenu uslugu. U EU praksi cestarina se ne naplaćuje za policijska i vatrogasna vozila te vozila hitne pomoći, koja su prepoznatljivog vizualnog identiteta.  </w:t>
      </w:r>
    </w:p>
    <w:p w:rsidR="002E3202" w:rsidRDefault="00391FE7">
      <w:r>
        <w:t>Sukladno navedenom, u Zakon o izmjenama i dopunama Zakona o cestama (NN 144/21) ugrađena je odredba kojom se propisuje za koja vozila kojih hitnih službi se korištenje autocesta i objekata s naplatom ne naplaćuje, a također je propisano da se sredstva za porez na dodanu vrijednost za navedenu uslugu osiguravaju u državnom proračunu na aktivnostima Ministarstva mora, prometa i infrastrukture.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36"/>
        <w:gridCol w:w="936"/>
        <w:gridCol w:w="944"/>
        <w:gridCol w:w="936"/>
        <w:gridCol w:w="936"/>
        <w:gridCol w:w="936"/>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Broj prolazaka vozila hitnih službi  za koje je izvršena refundacija PDVa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Oslobođenje od obveze plaćanja cestarine za vozila hitnih službi (vozila ministarstva nadležnog za unutarnje poslove, vozila ministarstva nadležnog za poslove obrane i nacionalne sigurnosti, vatrogasna vozila, vozila hitne medicinske pomoći, vozila gorske službe spašavanja i vozila carine)</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Upravitelj autocesta</w:t>
            </w:r>
          </w:p>
        </w:tc>
        <w:tc>
          <w:tcPr>
            <w:tcW w:w="918" w:type="dxa"/>
          </w:tcPr>
          <w:p w:rsidR="002E3202" w:rsidRDefault="00391FE7">
            <w:pPr>
              <w:jc w:val="center"/>
            </w:pPr>
            <w:r>
              <w:t>30.000</w:t>
            </w:r>
          </w:p>
        </w:tc>
        <w:tc>
          <w:tcPr>
            <w:tcW w:w="918" w:type="dxa"/>
          </w:tcPr>
          <w:p w:rsidR="002E3202" w:rsidRDefault="00391FE7">
            <w:pPr>
              <w:jc w:val="center"/>
            </w:pPr>
            <w:r>
              <w:t>30.000</w:t>
            </w:r>
          </w:p>
        </w:tc>
        <w:tc>
          <w:tcPr>
            <w:tcW w:w="918" w:type="dxa"/>
          </w:tcPr>
          <w:p w:rsidR="002E3202" w:rsidRDefault="00391FE7">
            <w:pPr>
              <w:jc w:val="center"/>
            </w:pPr>
            <w:r>
              <w:t>30.000</w:t>
            </w:r>
          </w:p>
        </w:tc>
      </w:tr>
    </w:tbl>
    <w:p w:rsidR="002E3202" w:rsidRDefault="002E3202">
      <w:pPr>
        <w:jc w:val="left"/>
      </w:pPr>
    </w:p>
    <w:p w:rsidR="002E3202" w:rsidRDefault="00391FE7">
      <w:pPr>
        <w:pStyle w:val="Heading4"/>
      </w:pPr>
      <w:r>
        <w:t>A810057 POTPORA ŽUPANIJSKIM UPRAVAMA ZA CESTE ZA ODRŽAVANJE, REKONSTRUKCIJU I GRAĐENJE ŽUPANIJSKIH I LOKALNIH CESTA</w:t>
      </w:r>
    </w:p>
    <w:p w:rsidR="002E3202" w:rsidRDefault="00391FE7">
      <w:pPr>
        <w:pStyle w:val="Heading8"/>
        <w:jc w:val="left"/>
      </w:pPr>
      <w:r>
        <w:t>Zakonske i druge pravne osnove</w:t>
      </w:r>
    </w:p>
    <w:p w:rsidR="002E3202" w:rsidRDefault="00391FE7">
      <w:r>
        <w:t>- Zakon o cestama</w:t>
      </w:r>
    </w:p>
    <w:tbl>
      <w:tblPr>
        <w:tblStyle w:val="StilTablice"/>
        <w:tblW w:w="10206" w:type="dxa"/>
        <w:jc w:val="center"/>
        <w:tblLook w:val="04A0" w:firstRow="1" w:lastRow="0" w:firstColumn="1" w:lastColumn="0" w:noHBand="0" w:noVBand="1"/>
      </w:tblPr>
      <w:tblGrid>
        <w:gridCol w:w="1459"/>
        <w:gridCol w:w="1562"/>
        <w:gridCol w:w="1562"/>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A810057</w:t>
            </w:r>
          </w:p>
        </w:tc>
        <w:tc>
          <w:tcPr>
            <w:tcW w:w="1632" w:type="dxa"/>
            <w:vAlign w:val="top"/>
          </w:tcPr>
          <w:p w:rsidR="002E3202" w:rsidRDefault="00391FE7">
            <w:pPr>
              <w:jc w:val="right"/>
            </w:pPr>
            <w:r>
              <w:t>13.272.281</w:t>
            </w:r>
          </w:p>
        </w:tc>
        <w:tc>
          <w:tcPr>
            <w:tcW w:w="1632" w:type="dxa"/>
            <w:vAlign w:val="top"/>
          </w:tcPr>
          <w:p w:rsidR="002E3202" w:rsidRDefault="00391FE7">
            <w:pPr>
              <w:jc w:val="right"/>
            </w:pPr>
            <w:r>
              <w:t>14.876.134</w:t>
            </w:r>
          </w:p>
        </w:tc>
        <w:tc>
          <w:tcPr>
            <w:tcW w:w="1632" w:type="dxa"/>
            <w:vAlign w:val="top"/>
          </w:tcPr>
          <w:p w:rsidR="002E3202" w:rsidRDefault="00391FE7">
            <w:pPr>
              <w:jc w:val="right"/>
            </w:pPr>
            <w:r>
              <w:t>4.000.000</w:t>
            </w:r>
          </w:p>
        </w:tc>
        <w:tc>
          <w:tcPr>
            <w:tcW w:w="1632" w:type="dxa"/>
            <w:vAlign w:val="top"/>
          </w:tcPr>
          <w:p w:rsidR="002E3202" w:rsidRDefault="00391FE7">
            <w:pPr>
              <w:jc w:val="right"/>
            </w:pPr>
            <w:r>
              <w:t>7.000.000</w:t>
            </w:r>
          </w:p>
        </w:tc>
        <w:tc>
          <w:tcPr>
            <w:tcW w:w="1632" w:type="dxa"/>
            <w:vAlign w:val="top"/>
          </w:tcPr>
          <w:p w:rsidR="002E3202" w:rsidRDefault="00391FE7">
            <w:pPr>
              <w:jc w:val="right"/>
            </w:pPr>
            <w:r>
              <w:t>7.000.000</w:t>
            </w:r>
          </w:p>
        </w:tc>
        <w:tc>
          <w:tcPr>
            <w:tcW w:w="510" w:type="dxa"/>
            <w:vAlign w:val="top"/>
          </w:tcPr>
          <w:p w:rsidR="002E3202" w:rsidRDefault="00391FE7">
            <w:pPr>
              <w:jc w:val="right"/>
            </w:pPr>
            <w:r>
              <w:t>26,9</w:t>
            </w:r>
          </w:p>
        </w:tc>
      </w:tr>
    </w:tbl>
    <w:p w:rsidR="002E3202" w:rsidRDefault="002E3202">
      <w:pPr>
        <w:jc w:val="left"/>
      </w:pPr>
    </w:p>
    <w:p w:rsidR="002E3202" w:rsidRDefault="00391FE7">
      <w:r>
        <w:t xml:space="preserve">U Republici Hrvatskoj danas postoji dvadeset županijskih uprava za ceste koje upravljaju sa 9.378,24 km županijskih i 8.452,38 km lokalnih cesta što je ukupno 17.830,62 km cesta ili oko 67% razvrstanih javnih cesta (Odluka o razvrstavanju javnih cesta, NN, br. 59/23, 64/23, 71/23 i 97/23), što je najveći dio mreže javnih cesta u Republici Hrvatskoj. U svim županijskim upravama za ceste danas radi manje od 220 zaposlenika, što znači da jedan zaposlenik brine za oko 82 km ceste. </w:t>
      </w:r>
    </w:p>
    <w:p w:rsidR="002E3202" w:rsidRDefault="00391FE7">
      <w:r>
        <w:t xml:space="preserve">Županijske uprave za ceste dokazale su se kao male i efikasne uprave koje odgovorno, kvalitetno i racionalno gospodare svojim sredstvima od kojih oko 95% izravno ulažu u održavanje cesta. Sva ulaganja provedena su sukladno financijskim mogućnostima bez pretjeranog zaduživanja (samo manji dio županijskih uprava ima kreditna zaduženja) uz dobru suradnju sa županijama, gradovima, općinama i državnim institucijama. </w:t>
      </w:r>
    </w:p>
    <w:p w:rsidR="002E3202" w:rsidRDefault="00391FE7">
      <w:r>
        <w:t xml:space="preserve">Sadašnji sustav financiranja županijskih i lokalnih cesta oslanja se na jedan izvor, godišnju naknadu za uporabu javnih cesta što se plaća pri registraciji motornih i priključnih vozila (cca 106 milijuna eura godišnje). Uravnoteženje trenutnog sustava, sa sadašnjim sredstvima, kao održivog sustava financiranja nije moguće, jer su za njega i za postizanje potrebne razine sigurnosti prometa, prema procjenama, u sadašnjim okolnostima potrebna godišnja ulaganja od 160 do 193 milijuna eura ovisno o standardu koji se želi postići. </w:t>
      </w:r>
    </w:p>
    <w:p w:rsidR="002E3202" w:rsidRDefault="00391FE7">
      <w:r>
        <w:t>Sredstva osigurana u državnom proračunu bi se, sukladno članku 92. Zakona o cestama, raspodijelila županijskim uprava za cesta kao potpora za održavanje, rekonstrukciju i građenje županijskih i lokalnih cesta.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ugovora sklopljenih sa županijskim upravama za ceste koje  upravljaju županijskim i lokalnim cestama</w:t>
            </w:r>
          </w:p>
        </w:tc>
        <w:tc>
          <w:tcPr>
            <w:tcW w:w="2245" w:type="dxa"/>
            <w:vAlign w:val="top"/>
          </w:tcPr>
          <w:p w:rsidR="002E3202" w:rsidRDefault="00391FE7">
            <w:pPr>
              <w:pStyle w:val="CellColumn"/>
              <w:jc w:val="left"/>
            </w:pPr>
            <w:r>
              <w:rPr>
                <w:rFonts w:cs="Times New Roman"/>
              </w:rPr>
              <w:t>Temeljem odluke ministra mora, prometa i infrastrukture isplaćuju se sredstva potpore za održavanje, rekonstrukciju i održavanje županijskih i lokalnih cesta</w:t>
            </w:r>
          </w:p>
        </w:tc>
        <w:tc>
          <w:tcPr>
            <w:tcW w:w="918" w:type="dxa"/>
          </w:tcPr>
          <w:p w:rsidR="002E3202" w:rsidRDefault="00391FE7">
            <w:pPr>
              <w:jc w:val="center"/>
            </w:pPr>
            <w:r>
              <w:t>broj</w:t>
            </w:r>
          </w:p>
        </w:tc>
        <w:tc>
          <w:tcPr>
            <w:tcW w:w="918" w:type="dxa"/>
          </w:tcPr>
          <w:p w:rsidR="002E3202" w:rsidRDefault="00391FE7">
            <w:pPr>
              <w:jc w:val="center"/>
            </w:pPr>
            <w:r>
              <w:t>20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20</w:t>
            </w:r>
          </w:p>
        </w:tc>
        <w:tc>
          <w:tcPr>
            <w:tcW w:w="918" w:type="dxa"/>
          </w:tcPr>
          <w:p w:rsidR="002E3202" w:rsidRDefault="00391FE7">
            <w:pPr>
              <w:jc w:val="center"/>
            </w:pPr>
            <w:r>
              <w:t>20</w:t>
            </w:r>
          </w:p>
        </w:tc>
        <w:tc>
          <w:tcPr>
            <w:tcW w:w="918" w:type="dxa"/>
          </w:tcPr>
          <w:p w:rsidR="002E3202" w:rsidRDefault="00391FE7">
            <w:pPr>
              <w:jc w:val="center"/>
            </w:pPr>
            <w:r>
              <w:t>20</w:t>
            </w:r>
          </w:p>
        </w:tc>
      </w:tr>
    </w:tbl>
    <w:p w:rsidR="002E3202" w:rsidRDefault="002E3202">
      <w:pPr>
        <w:jc w:val="left"/>
      </w:pPr>
    </w:p>
    <w:p w:rsidR="002E3202" w:rsidRDefault="00391FE7">
      <w:pPr>
        <w:pStyle w:val="Heading4"/>
      </w:pPr>
      <w:r>
        <w:t>A819031 PROVEDBA UGOVORA O KONCESIJI - BINA-ISTRA</w:t>
      </w:r>
    </w:p>
    <w:p w:rsidR="002E3202" w:rsidRDefault="00391FE7">
      <w:pPr>
        <w:pStyle w:val="Heading8"/>
        <w:jc w:val="left"/>
      </w:pPr>
      <w:r>
        <w:t>Zakonske i druge pravne osnove</w:t>
      </w:r>
    </w:p>
    <w:p w:rsidR="002E3202" w:rsidRDefault="00391FE7">
      <w:r>
        <w:t>- Ugovor o koncesiji za financiranje, građenje, upravljanje i održavanje "Jadranske autoceste" dionica: Dragonja-Pula i Kanfanar-Pazin-Matulji (Prva i druga faza), od 25. rujna 1995. godine sa sedam izmjena Ugovora - članci 26.2 i 27.2 Poglavlja 5. Ugovora o koncesiji za financiranje, građenje, upravljanje i održavanje „Jadranske autoceste“ - dionica Dragonja-Pula i Kanfanar-Pazin-Matulji (Prva i druga faza) od 25. rujna 1995. godine i članak 6. Priloga 19. Ugovora o izmjenama i dopunama br. 6 Ugovora o koncesiji za financiranje, građenje, upravljanje i održavanje „Jadranske autoceste“ - dionica Dragonja-Pula i Kanfanar-Pazin-Matulji (Prva i druga faza) od 04. studenoga 2020. godine, odnosno članak 6. Priloga 19. Ugovora o izmjenama i dopunama br. 7 Ugovora o koncesiji za financiranje, građenje, upravljanje i održavanje „Jadranske autoceste“ - dionica Dragonja-Pula i Kanfanar-Pazin-Matulji (Prva i druga faza) od 10. svibnja 2023. godine.</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A819031</w:t>
            </w:r>
          </w:p>
        </w:tc>
        <w:tc>
          <w:tcPr>
            <w:tcW w:w="1632" w:type="dxa"/>
            <w:vAlign w:val="top"/>
          </w:tcPr>
          <w:p w:rsidR="002E3202" w:rsidRDefault="00391FE7">
            <w:pPr>
              <w:jc w:val="right"/>
            </w:pPr>
            <w:r>
              <w:t>32.601.319</w:t>
            </w:r>
          </w:p>
        </w:tc>
        <w:tc>
          <w:tcPr>
            <w:tcW w:w="1632" w:type="dxa"/>
            <w:vAlign w:val="top"/>
          </w:tcPr>
          <w:p w:rsidR="002E3202" w:rsidRDefault="00391FE7">
            <w:pPr>
              <w:jc w:val="right"/>
            </w:pPr>
            <w:r>
              <w:t>32.545.000</w:t>
            </w:r>
          </w:p>
        </w:tc>
        <w:tc>
          <w:tcPr>
            <w:tcW w:w="1632" w:type="dxa"/>
            <w:vAlign w:val="top"/>
          </w:tcPr>
          <w:p w:rsidR="002E3202" w:rsidRDefault="00391FE7">
            <w:pPr>
              <w:jc w:val="right"/>
            </w:pPr>
            <w:r>
              <w:t>32.331.248</w:t>
            </w:r>
          </w:p>
        </w:tc>
        <w:tc>
          <w:tcPr>
            <w:tcW w:w="1632" w:type="dxa"/>
            <w:vAlign w:val="top"/>
          </w:tcPr>
          <w:p w:rsidR="002E3202" w:rsidRDefault="00391FE7">
            <w:pPr>
              <w:jc w:val="right"/>
            </w:pPr>
            <w:r>
              <w:t>32.698.761</w:t>
            </w:r>
          </w:p>
        </w:tc>
        <w:tc>
          <w:tcPr>
            <w:tcW w:w="1632" w:type="dxa"/>
            <w:vAlign w:val="top"/>
          </w:tcPr>
          <w:p w:rsidR="002E3202" w:rsidRDefault="00391FE7">
            <w:pPr>
              <w:jc w:val="right"/>
            </w:pPr>
            <w:r>
              <w:t>38.641.944</w:t>
            </w:r>
          </w:p>
        </w:tc>
        <w:tc>
          <w:tcPr>
            <w:tcW w:w="510" w:type="dxa"/>
            <w:vAlign w:val="top"/>
          </w:tcPr>
          <w:p w:rsidR="002E3202" w:rsidRDefault="00391FE7">
            <w:pPr>
              <w:jc w:val="right"/>
            </w:pPr>
            <w:r>
              <w:t>99,3</w:t>
            </w:r>
          </w:p>
        </w:tc>
      </w:tr>
    </w:tbl>
    <w:p w:rsidR="002E3202" w:rsidRDefault="002E3202">
      <w:pPr>
        <w:jc w:val="left"/>
      </w:pPr>
    </w:p>
    <w:p w:rsidR="002E3202" w:rsidRDefault="00391FE7">
      <w:r>
        <w:t xml:space="preserve">Navedena aktivnost provodi se kontinuirano do isteka Ugovora o koncesiji, odnosno najkasnije do 15.12.2041., no efektivno do 15.03.2041., ukoliko se zadnja rata kredita plati u skladu s planom otplate kredita. </w:t>
      </w:r>
    </w:p>
    <w:p w:rsidR="002E3202" w:rsidRDefault="00391FE7">
      <w:r>
        <w:t xml:space="preserve">Ugovor o koncesiji za financiranje, građenje, upravljanje i održavanje „Jadranske autoceste“ - dionica Dragonja-Pula i Kanfanar-Pazin-Matulji (Prva i druga faza), sklopljenim između Republike Hrvatske kao davateljem koncesije i društva Bina-Istra d.d. kao koncesionara od 25. rujna 1995. godine (sedam izmjena i dopuna tog Ugovora; od 18. rujna 1997. godine, od 27. kolovoza 1999. godine, od 25. veljače 2003. godine, od 25. kolovoza 2008. godine, od 5. listopada 2018. godine, od 4.studenog 2020, od 10. svibnja 2023. godine). </w:t>
      </w:r>
    </w:p>
    <w:p w:rsidR="002E3202" w:rsidRDefault="00391FE7">
      <w:r>
        <w:t xml:space="preserve">Koncesijskim ugovorom između Republike Hrvatske i društva Bina Istra d.d. se nadoknađuje financijski doprinos, koji predstavlja razliku između predviđenih prihoda od cestarine i troškova definiranih Ugovorom o koncesiji. Naime, dolazi do razlike između predviđenih prihoda od cestarine i troškova definiranih Prilogom 19. izmjena i dopuna Ugovora od 10. svibnja 2023. godine, budući da predviđeni prihodi od cestarine nisu dovoljni za pokrivanje svih definiranih troškova u danom roku trajanja koncesije. Iznos Financijskog doprinosa određuje se na temelju odobrenih troškova i cijene cestarine na Istarskom ipsilonu od strane Koncedenta na godišnjoj razini, a izračunava se pomoću financijskog modela. </w:t>
      </w:r>
    </w:p>
    <w:p w:rsidR="002E3202" w:rsidRDefault="00391FE7">
      <w:r>
        <w:t xml:space="preserve">Sredstva s ove aktivnosti planiraju se za financiranje sljedećih aktivnosti:  </w:t>
      </w:r>
    </w:p>
    <w:p w:rsidR="002E3202" w:rsidRDefault="00391FE7">
      <w:r>
        <w:t xml:space="preserve">- podmirenje standardnih troškova Koncesionara  </w:t>
      </w:r>
    </w:p>
    <w:p w:rsidR="002E3202" w:rsidRDefault="00391FE7">
      <w:r>
        <w:t xml:space="preserve">- troškove upravljanja i održavanja (na temelju ugovora o održavanju i upravljanju 142 km autoceste na Istarskom ipsilonu)  </w:t>
      </w:r>
    </w:p>
    <w:p w:rsidR="002E3202" w:rsidRDefault="00391FE7">
      <w:r>
        <w:t xml:space="preserve">- izvanredno održavanje (tunel Učka, obnova autoceste)  </w:t>
      </w:r>
    </w:p>
    <w:p w:rsidR="002E3202" w:rsidRDefault="00391FE7">
      <w:r>
        <w:t xml:space="preserve">- te servisiranje duga (otplata kamate i glavnice na povučena sredstva iz kredita temeljem ugovora o kreditu). </w:t>
      </w:r>
    </w:p>
    <w:p w:rsidR="002E3202" w:rsidRDefault="00391FE7">
      <w:r>
        <w:t xml:space="preserve"> </w:t>
      </w:r>
    </w:p>
    <w:p w:rsidR="002E3202" w:rsidRDefault="00391FE7">
      <w:r>
        <w:t xml:space="preserve">U 2024. godini planira se iznos od 32.331.248 EUR: </w:t>
      </w:r>
    </w:p>
    <w:p w:rsidR="002E3202" w:rsidRDefault="00391FE7">
      <w:r>
        <w:t xml:space="preserve">1.) Projicirani troškovi (Upravljanje i održavanje, Izvanredno održavanje, Servisiranje duga, Koncesionarevi troškovi) = 80.273.071 EUR </w:t>
      </w:r>
    </w:p>
    <w:p w:rsidR="002E3202" w:rsidRDefault="00391FE7">
      <w:r>
        <w:t xml:space="preserve">2.) Projicirani prihodi (Cestarine, Ostali prihodi) = 47.941.823 EUR </w:t>
      </w:r>
    </w:p>
    <w:p w:rsidR="002E3202" w:rsidRDefault="00391FE7">
      <w:r>
        <w:t xml:space="preserve">Razlika (1-2) : Predviđena osnova financijskog doprinosa : 32.331.248 EUR </w:t>
      </w:r>
    </w:p>
    <w:p w:rsidR="002E3202" w:rsidRDefault="00391FE7">
      <w:r>
        <w:t xml:space="preserve">Planirana sredstva za financijski doprinos: 32.331.248 EUR </w:t>
      </w:r>
    </w:p>
    <w:p w:rsidR="002E3202" w:rsidRDefault="00391FE7">
      <w:r>
        <w:t xml:space="preserve">U 2025. godini planira se iznos od 32.698.761 EUR </w:t>
      </w:r>
    </w:p>
    <w:p w:rsidR="002E3202" w:rsidRDefault="00391FE7">
      <w:r>
        <w:t xml:space="preserve">1.) Projicirani troškovi (Upravljanje i održavanje, Izvanredno održavanje, Servisiranje duga, Koncesionarevi troškovi) = 81.403.209 EUR </w:t>
      </w:r>
    </w:p>
    <w:p w:rsidR="002E3202" w:rsidRDefault="00391FE7">
      <w:r>
        <w:t xml:space="preserve">2.) Projicirani prihodi (Cestarine, Ostali prihodi) = 48.704.448 EUR </w:t>
      </w:r>
    </w:p>
    <w:p w:rsidR="002E3202" w:rsidRDefault="00391FE7">
      <w:r>
        <w:t xml:space="preserve">Razlika (1-2) : Predviđena osnova financijskog doprinosa : 32.698.761 EUR </w:t>
      </w:r>
    </w:p>
    <w:p w:rsidR="002E3202" w:rsidRDefault="00391FE7">
      <w:r>
        <w:t xml:space="preserve">Planirana sredstva za financijski doprinos: 32.698.761 EUR </w:t>
      </w:r>
    </w:p>
    <w:p w:rsidR="002E3202" w:rsidRDefault="00391FE7">
      <w:r>
        <w:t xml:space="preserve">U 2026. godini planira se iznos od 38.641.944 EUR </w:t>
      </w:r>
    </w:p>
    <w:p w:rsidR="002E3202" w:rsidRDefault="00391FE7">
      <w:r>
        <w:t xml:space="preserve">1.) Projicirani troškovi (Upravljanje i održavanje, Izvanredno održavanje, Servisiranje duga, troškovi Koncesionara) = 92.608.723 EUR </w:t>
      </w:r>
    </w:p>
    <w:p w:rsidR="002E3202" w:rsidRDefault="00391FE7">
      <w:r>
        <w:t xml:space="preserve">2.) Projicirani prihodi (Cestarine, Ostali prihodi) = 51.553.079 EUR </w:t>
      </w:r>
    </w:p>
    <w:p w:rsidR="002E3202" w:rsidRDefault="00391FE7">
      <w:r>
        <w:t xml:space="preserve">3.) Moguće uštede po pitanju poreza na dobit = 2.413.700 EUR </w:t>
      </w:r>
    </w:p>
    <w:p w:rsidR="002E3202" w:rsidRDefault="00391FE7">
      <w:r>
        <w:t xml:space="preserve">Razlika (1-2-3) : Predviđena osnova financijskog doprinosa : 38.641.944 EUR </w:t>
      </w:r>
    </w:p>
    <w:p w:rsidR="002E3202" w:rsidRDefault="00391FE7">
      <w:r>
        <w:t xml:space="preserve">Planirana sredstva za financijski doprinos: 38.641.944 EUR </w:t>
      </w:r>
    </w:p>
    <w:p w:rsidR="002E3202" w:rsidRDefault="00391FE7">
      <w:r>
        <w:t xml:space="preserve">Društvo će kontinuirano vršiti napore s ciljem optimizacije troškova i maksimiziranja prihoda u promatranom periodu te će pravovremeno obavijestiti Koncedenta o eventualnoj reviziji potrebnih iznosa financijskog doprinosa. Mogućnost optimizacije s prihodovne strane primarno ovisi o razinama prometa na Istarskom ipsilonu i stvarno realiziranim prihodima od cestarine, a troškovna baza o stabilizaciji inflatornih pritisaka koji se u najvećoj mjeri očituju u većim troškovima redovnog i izvanrednog održavanja. </w:t>
      </w:r>
    </w:p>
    <w:p w:rsidR="002E3202" w:rsidRDefault="00391FE7">
      <w:r>
        <w:t xml:space="preserve">Definiranje limita ispod navedenih razina ugrozilo bi likvidnost i solventnost društva i onemogućilo isto da uredno servisira sve svoje obveze pri čemu posebno izdvajamo servisiranje duga sredinom prosinca svake godine koje predstavlja c. 80% proračuna koncesionara. </w:t>
      </w:r>
    </w:p>
    <w:p w:rsidR="002E3202" w:rsidRDefault="00391FE7">
      <w:r>
        <w:t xml:space="preserve">Društvo Bina-Istra d.d. će tijekom programskog razdoblja (od 2024. do 2026. godine) izvoditi iduće radove: </w:t>
      </w:r>
    </w:p>
    <w:p w:rsidR="002E3202" w:rsidRDefault="00391FE7">
      <w:r>
        <w:t xml:space="preserve">• Dopuna na puni profil dionica Vranja – Tunel Učka (portal Kvarner) – Pod-faza 2B2-1 </w:t>
      </w:r>
    </w:p>
    <w:p w:rsidR="002E3202" w:rsidRDefault="00391FE7">
      <w:r>
        <w:t xml:space="preserve"> </w:t>
      </w:r>
    </w:p>
    <w:p w:rsidR="002E3202" w:rsidRDefault="00391FE7">
      <w:r>
        <w:t xml:space="preserve"> Pod-faza 2B2-1 sastoji se  od dopune na puni profil izgradnjom drugog kolničkog traka od čvora Vranja do tunela Učka / Portal Kvarner, uključujući i drugu cijev tunela Učka, sjeveroistočno od postojeće cijevi. Ukupna dužina ove dionice iznosi 8 km, od čega 5,63 km nove cijevi tunela Učka, koji će biti opremljen te povezan poprečnim vezama s postojećom cijevi čime se osigurava sukladnost s Direktivom 2004/54/EZ o minimalnim sigurnosnim zahtjevima za tunele u transeuropskoj cestovnoj mreži. Ujedno, bit će izgrađeno novo odmorište na kvarnerskoj strani tunela Učka. Radovi uključuju i izgradnju novog čvorišta Vranja, izgradnju novog podvožnjaka, izgradnju dva nova nadvožnjaka, izgradnju prometne poveznice iznad portala obje cijevi tunela Učka na istarskoj strani, izgradnju tri nova cestarinska prolaza te izgradnju nove zgrade za vatrogasnu postrojbu na postojećem platou s istarske strane tunela Učka čime se  nadograđuje sveobuhvatna Transeuropska prometna mreža („TEN-T“), čime se povezuje Istra s ostatkom Republike Hrvatske. </w:t>
      </w:r>
    </w:p>
    <w:p w:rsidR="002E3202" w:rsidRDefault="00391FE7">
      <w:r>
        <w:t xml:space="preserve">Radovi na izgradnji Podfaze 2B2-1 započeli su dana 2. prosinca 2020 kada je izdan Nalog za početak radova dok je gradilište svečano otvoreno 17. prosinca 2020. Radovi se odvijaju prema predviđenom programu i dinamici gradnje. Predviđeni rok dovršetka svih radova Podfaze 2B2-1: ljeto 2024.  </w:t>
      </w:r>
    </w:p>
    <w:p w:rsidR="002E3202" w:rsidRDefault="00391FE7">
      <w:r>
        <w:t xml:space="preserve">• Dopuna na puni profil dionice od tunela Učka (Kvarner) do čvora Matulji  što predstavlja Pod-fazu 2B2-2 te dupliranje vijadukta Limska Draga i mosta Mirna što predstavljaPod-fazu 2B2-3 </w:t>
      </w:r>
    </w:p>
    <w:p w:rsidR="002E3202" w:rsidRDefault="00391FE7">
      <w:r>
        <w:t xml:space="preserve"> </w:t>
      </w:r>
    </w:p>
    <w:p w:rsidR="002E3202" w:rsidRDefault="00391FE7">
      <w:r>
        <w:t xml:space="preserve">Ukupan iznos investicije je 199  milijuna eura na 31.12.2022. godine uvećan za Ostale građevinske radove Pod-faze 2B2-2 i Pod-faze 2B2-3 ukupne vrijednosti 14 milijuna eura. </w:t>
      </w:r>
    </w:p>
    <w:p w:rsidR="002E3202" w:rsidRDefault="00391FE7">
      <w:r>
        <w:t xml:space="preserve">Izrađen je idejni projekt, pribavljene su lokacijske dozvole te se dovršava glavni projekt dopune na puni profil (izgradnja drugog kolnika) na dionici Tunel – Učka – Matulji koja je dio autoceste A8 Kanfanar – Pazin – Lupoglav – Matulji. Predviđeno je da se i postojeća brza cesta na određenim dijelovima rekonstruira kako bi se poboljšali projektni element te je obuhvaćena zaštita od buke kako za novi tako i za postojeći kolnik.  Ukupna duljina dionice je 10,30 kilometara te se sastoji od 5 pod-dionica: </w:t>
      </w:r>
    </w:p>
    <w:p w:rsidR="002E3202" w:rsidRDefault="00391FE7">
      <w:r>
        <w:t xml:space="preserve">- 2B2-2-1 – Dio A  - Proširenje odmorišta Kvarner  </w:t>
      </w:r>
    </w:p>
    <w:p w:rsidR="002E3202" w:rsidRDefault="00391FE7">
      <w:r>
        <w:t xml:space="preserve">- 2B2-2-1 – Dio B – izgradnja 2 dodatne kolničke trake između završetka pod-faze 2B2-1 i početka faze 2B2-2 (1,3 km) </w:t>
      </w:r>
    </w:p>
    <w:p w:rsidR="002E3202" w:rsidRDefault="00391FE7">
      <w:r>
        <w:t xml:space="preserve">- 2B2-2-2 Odmorište Kvarner – Veprinac (2,8 km) </w:t>
      </w:r>
    </w:p>
    <w:p w:rsidR="002E3202" w:rsidRDefault="00391FE7">
      <w:r>
        <w:t xml:space="preserve">- 2B2-2-3 Veprinac – Anđeli (3,5 km) </w:t>
      </w:r>
    </w:p>
    <w:p w:rsidR="002E3202" w:rsidRDefault="00391FE7">
      <w:r>
        <w:t xml:space="preserve">- 2B2-2-4 Anđeli – Frančići (1,6 km) </w:t>
      </w:r>
    </w:p>
    <w:p w:rsidR="002E3202" w:rsidRDefault="00391FE7">
      <w:r>
        <w:t xml:space="preserve">- 2B2-2-5 Frančići – Matulji (1,2 km) </w:t>
      </w:r>
    </w:p>
    <w:p w:rsidR="002E3202" w:rsidRDefault="00391FE7">
      <w:r>
        <w:t xml:space="preserve">Svrha provedbe ovog projekta je potpuno povezivanje hrvatske mreže autocesta u čvorištu Matulji na riječkoj zaobilaznici. </w:t>
      </w:r>
    </w:p>
    <w:p w:rsidR="002E3202" w:rsidRDefault="00391FE7">
      <w:r>
        <w:t xml:space="preserve">Pod-Faza 2B2-3 sastoji se od dupliranje mosta Mirna (aproksimativne duljine 1,4 km)  i dupliranje vijadukta Limska Draga  (aproksimativne duljine 0,6 km) na zapadnom kraku Istarskog Ipsilona, dionici autoceste A9 Umag - Pula. </w:t>
      </w:r>
    </w:p>
    <w:p w:rsidR="002E3202" w:rsidRDefault="00391FE7">
      <w:r>
        <w:t xml:space="preserve">- 2B2-3-1 Limska Draga (c. 0,6 km) </w:t>
      </w:r>
    </w:p>
    <w:p w:rsidR="002E3202" w:rsidRDefault="00391FE7">
      <w:r>
        <w:t xml:space="preserve">- 2B2-3-2 most Mirna (c. 1,4 km) </w:t>
      </w:r>
    </w:p>
    <w:p w:rsidR="002E3202" w:rsidRDefault="00391FE7">
      <w:r>
        <w:t xml:space="preserve">Ove investicijske mjere će dovesti će do niza ključnih koristi među kojima su: povećanje razine sigurnosti (trenutno postoji samo jedan objekt,  2 kolnika se sužavaju na 1 objekt i nakon njega se promet opet vodi po 2 kolnika), smanjenje zagušenja, skraćivanje vremena putovanja, unaprjeđenje zaštite okoliša, nadogradnju sveobuhvatne Transeuropske prometne mreže ("TEN-T") čime se primjereno povezuje Istra s ostatkom Republike Hrvatske (Rijeka – luka, željeznica, Pula – zračna luka – preko cestovne mreže Istarskog ipsilona), poboljšava gospodarska i socijalna kohezija te se ostvaruju znatne gospodarske koristi za građane, posebice u obliku povećanog turizma koji je od vitalnog značaja za istarsku regiju i hrvatsku ekonomiju te poboljšanjem gospodarske i socijalne kohezije za građane. Izgradnja pod-faza 2B2-2 i 2B2-3 povećat će sigurnost autoceste dodavanjem drugog kolnika i barijera između tunela Učka i Matulja te udvostručavanjem mosta Mirna i vijadukta Limska Draga, što će dovesti do manjeg broja teških nesreća i smanjenjem opasnosti koje predstavlja potencijalno usko grlo na izlazu iz udvostručenog tunela Učka. Pod-faza 2B2-2 i Podfaza 2B2-3 smanjit će vrijeme putovanja za korisnike i poboljšati zaštitu okoliša smanjenjem zagušenja što će dovesti do smanjenja emisije CO2 i onečišćenja zraka unutar Parka prirode Učka te poboljšanja zaštite od buke. </w:t>
      </w:r>
    </w:p>
    <w:p w:rsidR="002E3202" w:rsidRDefault="00391FE7">
      <w:r>
        <w:t>Radovi na izgradnji Pod-faze 2B2-2 i Pod- faze 2B2-3 započeli su dana 25. kolovoza 2023 kada je izdan Nalog za početak radova za prve tri dionice: 2B2-2-2 (izgradnja dviju dodatnih traka između krajnje točke odmorišta Kvarner i čvorišta Veprinac), 2B2-2-3 (izgradnja dviju dodatnih traka između čvorišta Veprinac i čvorišta Anđeli), te dionici 2B2-3-1 (vijadukt Limska Draga). Zatvaranje financijske konstrukcije s domaćim i inozemnim bankama službeno je završeno 31. kolovoza 2023. prvim povlačenjem iz terminskog kredita. Predviđeni rok dovršetka svih radova Pod-faze 2B2-2 i 2B2-3 jest 38 mjeseci odnosno kraj listopada 2026. godine.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Broj kilometara novoizgrađenih autocesta u nadležnosti Bina-Istre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Koncesijskim ugovorom između Republike Hrvatske i društva Bina Istra d.d. se nadoknađuje financijski doprinos, koji predstavlja razliku između predviđenih prihoda od cestarine i troškova definiranih Ugovorom o koncesiji, a koji se investira u izgradnju autocesta u nadležnosti društva Bina Istra d.d</w:t>
            </w:r>
          </w:p>
        </w:tc>
        <w:tc>
          <w:tcPr>
            <w:tcW w:w="918" w:type="dxa"/>
          </w:tcPr>
          <w:p w:rsidR="002E3202" w:rsidRDefault="00391FE7">
            <w:pPr>
              <w:jc w:val="center"/>
            </w:pPr>
            <w:r>
              <w:t>km</w:t>
            </w:r>
          </w:p>
        </w:tc>
        <w:tc>
          <w:tcPr>
            <w:tcW w:w="918" w:type="dxa"/>
          </w:tcPr>
          <w:p w:rsidR="002E3202" w:rsidRDefault="00391FE7">
            <w:pPr>
              <w:jc w:val="center"/>
            </w:pPr>
            <w:r>
              <w:t>2,14</w:t>
            </w:r>
          </w:p>
        </w:tc>
        <w:tc>
          <w:tcPr>
            <w:tcW w:w="918" w:type="dxa"/>
          </w:tcPr>
          <w:p w:rsidR="002E3202" w:rsidRDefault="00391FE7">
            <w:pPr>
              <w:pStyle w:val="CellColumn"/>
              <w:jc w:val="center"/>
            </w:pPr>
            <w:r>
              <w:rPr>
                <w:rFonts w:cs="Times New Roman"/>
              </w:rPr>
              <w:t>Bina-Istra d.d</w:t>
            </w:r>
          </w:p>
        </w:tc>
        <w:tc>
          <w:tcPr>
            <w:tcW w:w="918" w:type="dxa"/>
          </w:tcPr>
          <w:p w:rsidR="002E3202" w:rsidRDefault="00391FE7">
            <w:pPr>
              <w:jc w:val="center"/>
            </w:pPr>
            <w:r>
              <w:t>4,10</w:t>
            </w:r>
          </w:p>
        </w:tc>
        <w:tc>
          <w:tcPr>
            <w:tcW w:w="918" w:type="dxa"/>
          </w:tcPr>
          <w:p w:rsidR="002E3202" w:rsidRDefault="00391FE7">
            <w:pPr>
              <w:jc w:val="center"/>
            </w:pPr>
            <w:r>
              <w:t>4,10</w:t>
            </w:r>
          </w:p>
        </w:tc>
        <w:tc>
          <w:tcPr>
            <w:tcW w:w="918" w:type="dxa"/>
          </w:tcPr>
          <w:p w:rsidR="002E3202" w:rsidRDefault="00391FE7">
            <w:pPr>
              <w:jc w:val="center"/>
            </w:pPr>
            <w:r>
              <w:t>4,10</w:t>
            </w:r>
          </w:p>
        </w:tc>
      </w:tr>
      <w:tr w:rsidR="002E3202">
        <w:trPr>
          <w:jc w:val="center"/>
        </w:trPr>
        <w:tc>
          <w:tcPr>
            <w:tcW w:w="2245" w:type="dxa"/>
            <w:vAlign w:val="top"/>
          </w:tcPr>
          <w:p w:rsidR="002E3202" w:rsidRDefault="00391FE7">
            <w:pPr>
              <w:pStyle w:val="CellColumn"/>
              <w:jc w:val="left"/>
            </w:pPr>
            <w:r>
              <w:rPr>
                <w:rFonts w:cs="Times New Roman"/>
              </w:rPr>
              <w:t xml:space="preserve">Broj kilometara investicijski održavanih autocesta u nadležnosti Bina-Istre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Koncesijskim ugovorom između Republike Hrvatske i društva Bina Istra d.d. se nadoknađuje financijski doprinos, koji predstavlja razliku između predviđenih prihoda od cestarine i troškova definiranih Ugovorom o koncesiji, a koji se investira u održavanje autocesta u nadležnosti društva Bina Istra d.d.</w:t>
            </w:r>
          </w:p>
        </w:tc>
        <w:tc>
          <w:tcPr>
            <w:tcW w:w="918" w:type="dxa"/>
          </w:tcPr>
          <w:p w:rsidR="002E3202" w:rsidRDefault="00391FE7">
            <w:pPr>
              <w:jc w:val="center"/>
            </w:pPr>
            <w:r>
              <w:t>km</w:t>
            </w:r>
          </w:p>
        </w:tc>
        <w:tc>
          <w:tcPr>
            <w:tcW w:w="918" w:type="dxa"/>
          </w:tcPr>
          <w:p w:rsidR="002E3202" w:rsidRDefault="00391FE7">
            <w:pPr>
              <w:jc w:val="center"/>
            </w:pPr>
            <w:r>
              <w:t>15,30</w:t>
            </w:r>
          </w:p>
        </w:tc>
        <w:tc>
          <w:tcPr>
            <w:tcW w:w="918" w:type="dxa"/>
          </w:tcPr>
          <w:p w:rsidR="002E3202" w:rsidRDefault="00391FE7">
            <w:pPr>
              <w:pStyle w:val="CellColumn"/>
              <w:jc w:val="center"/>
            </w:pPr>
            <w:r>
              <w:rPr>
                <w:rFonts w:cs="Times New Roman"/>
              </w:rPr>
              <w:t>Bina-Istra d.d.</w:t>
            </w:r>
          </w:p>
        </w:tc>
        <w:tc>
          <w:tcPr>
            <w:tcW w:w="918" w:type="dxa"/>
          </w:tcPr>
          <w:p w:rsidR="002E3202" w:rsidRDefault="00391FE7">
            <w:pPr>
              <w:jc w:val="center"/>
            </w:pPr>
            <w:r>
              <w:t>15,60</w:t>
            </w:r>
          </w:p>
        </w:tc>
        <w:tc>
          <w:tcPr>
            <w:tcW w:w="918" w:type="dxa"/>
          </w:tcPr>
          <w:p w:rsidR="002E3202" w:rsidRDefault="00391FE7">
            <w:pPr>
              <w:jc w:val="center"/>
            </w:pPr>
            <w:r>
              <w:t>16,00</w:t>
            </w:r>
          </w:p>
        </w:tc>
        <w:tc>
          <w:tcPr>
            <w:tcW w:w="918" w:type="dxa"/>
          </w:tcPr>
          <w:p w:rsidR="002E3202" w:rsidRDefault="00391FE7">
            <w:pPr>
              <w:jc w:val="center"/>
            </w:pPr>
            <w:r>
              <w:t>15,80</w:t>
            </w:r>
          </w:p>
        </w:tc>
      </w:tr>
    </w:tbl>
    <w:p w:rsidR="002E3202" w:rsidRDefault="002E3202">
      <w:pPr>
        <w:jc w:val="left"/>
      </w:pPr>
    </w:p>
    <w:p w:rsidR="002E3202" w:rsidRDefault="00391FE7">
      <w:pPr>
        <w:pStyle w:val="Heading4"/>
      </w:pPr>
      <w:r>
        <w:t>A820029 NAKNADA CESTARINA ZA NATO I EUFOR VOZILA</w:t>
      </w:r>
    </w:p>
    <w:p w:rsidR="002E3202" w:rsidRDefault="00391FE7">
      <w:pPr>
        <w:pStyle w:val="Heading8"/>
        <w:jc w:val="left"/>
      </w:pPr>
      <w:r>
        <w:t>Zakonske i druge pravne osnove</w:t>
      </w:r>
    </w:p>
    <w:p w:rsidR="002E3202" w:rsidRDefault="00391FE7">
      <w:r>
        <w:t xml:space="preserve">- Sporazum između Republike Hrvatske i Organizacije Sjevernoatlantskog ugovora (NATO) o pravnom položaju NATO-a i njegovog osoblja od 23. studenoga 1995. godine - prilog B, Aneks 1A Općeg okvirnog sporazuma za mir u Bosni i Hercegovini (Daytonski sporazum) od 14. prosinca 1995. godine, prilog B (Appendix B to Annex 1A)  </w:t>
      </w:r>
    </w:p>
    <w:p w:rsidR="002E3202" w:rsidRDefault="00391FE7">
      <w:r>
        <w:t xml:space="preserve">- Tehnički dogovor između Vlade Republike Hrvatske i NATO-a od 1. ožujka 1996. godine – u aneksu br. 9. Customs and border crossing, stranici 2. poglavlja Unacocompanied equipment, provisions, supplies točci 7.a. Military transport, (iii) nalazi se podatak, kojim je određeno da NATO i EUFOR vozila ne plaćaju cestarinu u Republici Hrvatskoj  </w:t>
      </w:r>
    </w:p>
    <w:p w:rsidR="002E3202" w:rsidRDefault="00391FE7">
      <w:r>
        <w:t>- Pravilnik o načinu, postupku i dinamici ostvarivanja prava na nadoknadu iznosa godišnje naknade i cestarine, članak 1.</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A820029</w:t>
            </w:r>
          </w:p>
        </w:tc>
        <w:tc>
          <w:tcPr>
            <w:tcW w:w="1632" w:type="dxa"/>
            <w:vAlign w:val="top"/>
          </w:tcPr>
          <w:p w:rsidR="002E3202" w:rsidRDefault="00391FE7">
            <w:pPr>
              <w:jc w:val="right"/>
            </w:pPr>
            <w:r>
              <w:t>58.453</w:t>
            </w:r>
          </w:p>
        </w:tc>
        <w:tc>
          <w:tcPr>
            <w:tcW w:w="1632" w:type="dxa"/>
            <w:vAlign w:val="top"/>
          </w:tcPr>
          <w:p w:rsidR="002E3202" w:rsidRDefault="00391FE7">
            <w:pPr>
              <w:jc w:val="right"/>
            </w:pPr>
            <w:r>
              <w:t>70.343</w:t>
            </w:r>
          </w:p>
        </w:tc>
        <w:tc>
          <w:tcPr>
            <w:tcW w:w="1632" w:type="dxa"/>
            <w:vAlign w:val="top"/>
          </w:tcPr>
          <w:p w:rsidR="002E3202" w:rsidRDefault="00391FE7">
            <w:pPr>
              <w:jc w:val="right"/>
            </w:pPr>
            <w:r>
              <w:t>70.343</w:t>
            </w:r>
          </w:p>
        </w:tc>
        <w:tc>
          <w:tcPr>
            <w:tcW w:w="1632" w:type="dxa"/>
            <w:vAlign w:val="top"/>
          </w:tcPr>
          <w:p w:rsidR="002E3202" w:rsidRDefault="00391FE7">
            <w:pPr>
              <w:jc w:val="right"/>
            </w:pPr>
            <w:r>
              <w:t>70.343</w:t>
            </w:r>
          </w:p>
        </w:tc>
        <w:tc>
          <w:tcPr>
            <w:tcW w:w="1632" w:type="dxa"/>
            <w:vAlign w:val="top"/>
          </w:tcPr>
          <w:p w:rsidR="002E3202" w:rsidRDefault="00391FE7">
            <w:pPr>
              <w:jc w:val="right"/>
            </w:pPr>
            <w:r>
              <w:t>70.343</w:t>
            </w:r>
          </w:p>
        </w:tc>
        <w:tc>
          <w:tcPr>
            <w:tcW w:w="510" w:type="dxa"/>
            <w:vAlign w:val="top"/>
          </w:tcPr>
          <w:p w:rsidR="002E3202" w:rsidRDefault="00391FE7">
            <w:pPr>
              <w:jc w:val="right"/>
            </w:pPr>
            <w:r>
              <w:t>100,0</w:t>
            </w:r>
          </w:p>
        </w:tc>
      </w:tr>
    </w:tbl>
    <w:p w:rsidR="002E3202" w:rsidRDefault="002E3202">
      <w:pPr>
        <w:jc w:val="left"/>
      </w:pPr>
    </w:p>
    <w:p w:rsidR="002E3202" w:rsidRDefault="00391FE7">
      <w:r>
        <w:t xml:space="preserve">Navedena aktivnost provodi se kontinuirano dok postoji zakonska obveza/osnova.   </w:t>
      </w:r>
    </w:p>
    <w:p w:rsidR="002E3202" w:rsidRDefault="00391FE7">
      <w:r>
        <w:t xml:space="preserve">Postupno pravilo za propuštanje vozila NATO-a i EUFOR-a te vozila, kojima upravljaju djelatnici NATO-a i EUFOR-a kroz naplatne postaje na autocestama u Republici Hrvatskoj provodi se temeljem Sporazuma između Republike Hrvatske i NATO-a, sredstva na aktivnosti planirana su uvažavajući prosječan godišnji broj prolazaka, a pritom uzimajući u obzir iznos utrošenih sredstava u prethodnom dvogodišnjom razdoblju za financiranje naknada cestarina za NATO i EUFOR vozila.  </w:t>
      </w:r>
    </w:p>
    <w:p w:rsidR="002E3202" w:rsidRDefault="00391FE7">
      <w:r>
        <w:t>Naknada se obračunava prema stvarno evidentiranim prolascima i nadoknađuje se Hrvatskim autocestama d.o.o., Autocesti Zagreb-Macelj d.o.o. i Bina-Istri d.d..</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36"/>
        <w:gridCol w:w="936"/>
        <w:gridCol w:w="944"/>
        <w:gridCol w:w="936"/>
        <w:gridCol w:w="936"/>
        <w:gridCol w:w="936"/>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Broj prolazaka NATO i EUFOR vozila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Temeljem sporazuma isplaćuje se naknada za vozila EUFOR-a i NATO-a koji su oslobođeni od plaćanja cestarine u RH</w:t>
            </w:r>
          </w:p>
        </w:tc>
        <w:tc>
          <w:tcPr>
            <w:tcW w:w="918" w:type="dxa"/>
          </w:tcPr>
          <w:p w:rsidR="002E3202" w:rsidRDefault="00391FE7">
            <w:pPr>
              <w:jc w:val="center"/>
            </w:pPr>
            <w:r>
              <w:t>broj</w:t>
            </w:r>
          </w:p>
        </w:tc>
        <w:tc>
          <w:tcPr>
            <w:tcW w:w="918" w:type="dxa"/>
          </w:tcPr>
          <w:p w:rsidR="002E3202" w:rsidRDefault="00391FE7">
            <w:pPr>
              <w:jc w:val="center"/>
            </w:pPr>
            <w:r>
              <w:t>6.400</w:t>
            </w:r>
          </w:p>
        </w:tc>
        <w:tc>
          <w:tcPr>
            <w:tcW w:w="918" w:type="dxa"/>
          </w:tcPr>
          <w:p w:rsidR="002E3202" w:rsidRDefault="00391FE7">
            <w:pPr>
              <w:pStyle w:val="CellColumn"/>
              <w:jc w:val="center"/>
            </w:pPr>
            <w:r>
              <w:rPr>
                <w:rFonts w:cs="Times New Roman"/>
              </w:rPr>
              <w:t xml:space="preserve">Upravitelj autocesta     </w:t>
            </w:r>
          </w:p>
          <w:p w:rsidR="002E3202" w:rsidRDefault="00391FE7">
            <w:pPr>
              <w:pStyle w:val="CellColumn"/>
              <w:jc w:val="center"/>
            </w:pPr>
            <w:r>
              <w:rPr>
                <w:rFonts w:cs="Times New Roman"/>
              </w:rPr>
              <w:t>(HAC, AZM, Bina-Istra)</w:t>
            </w:r>
          </w:p>
        </w:tc>
        <w:tc>
          <w:tcPr>
            <w:tcW w:w="918" w:type="dxa"/>
          </w:tcPr>
          <w:p w:rsidR="002E3202" w:rsidRDefault="00391FE7">
            <w:pPr>
              <w:jc w:val="center"/>
            </w:pPr>
            <w:r>
              <w:t>6.750</w:t>
            </w:r>
          </w:p>
        </w:tc>
        <w:tc>
          <w:tcPr>
            <w:tcW w:w="918" w:type="dxa"/>
          </w:tcPr>
          <w:p w:rsidR="002E3202" w:rsidRDefault="00391FE7">
            <w:pPr>
              <w:jc w:val="center"/>
            </w:pPr>
            <w:r>
              <w:t>7.000</w:t>
            </w:r>
          </w:p>
        </w:tc>
        <w:tc>
          <w:tcPr>
            <w:tcW w:w="918" w:type="dxa"/>
          </w:tcPr>
          <w:p w:rsidR="002E3202" w:rsidRDefault="00391FE7">
            <w:pPr>
              <w:jc w:val="center"/>
            </w:pPr>
            <w:r>
              <w:t>7.250</w:t>
            </w:r>
          </w:p>
        </w:tc>
      </w:tr>
    </w:tbl>
    <w:p w:rsidR="002E3202" w:rsidRDefault="002E3202">
      <w:pPr>
        <w:jc w:val="left"/>
      </w:pPr>
    </w:p>
    <w:p w:rsidR="002E3202" w:rsidRDefault="00391FE7">
      <w:pPr>
        <w:pStyle w:val="Heading4"/>
      </w:pPr>
      <w:r>
        <w:t>K570344 PROVEDBA UGOVORA O KONCESIJI - AUTOCESTA ZAGREB-MACELJ</w:t>
      </w:r>
    </w:p>
    <w:p w:rsidR="002E3202" w:rsidRDefault="00391FE7">
      <w:pPr>
        <w:pStyle w:val="Heading8"/>
        <w:jc w:val="left"/>
      </w:pPr>
      <w:r>
        <w:t>Zakonske i druge pravne osnove</w:t>
      </w:r>
    </w:p>
    <w:p w:rsidR="002E3202" w:rsidRDefault="00391FE7">
      <w:r>
        <w:t xml:space="preserve">- Ugovor o koncesiji između Republike Hrvatske i Autoceste Zagreb-Macelj d.o.o., za financiranje, građenje i upravljanje autocestom Zagreb-Macelj, od 11. srpnja 2003. godine, izmjene Ugovora o koncesiji između Republike Hrvatske i Autoceste Zagreb-Macelj d.o.o. od 27. studenoga 2003. godine, 20. srpnja 2004. godine, 30. lipnja 2008. godine, 23. svibnja 2011. godine (u daljnjem tekstu: Ugovor o koncesiji)  </w:t>
      </w:r>
    </w:p>
    <w:p w:rsidR="002E3202" w:rsidRDefault="00391FE7">
      <w:r>
        <w:t xml:space="preserve">- Sporazum o cestarini od 3. veljače 2006. godine, sklopljen između Republike Hrvatske i Autoceste Zagreb-Macelj d.o.o. 2011. godine, Aneks br. 1 Sporazuma o cestarini, sklopljen 29. rujna 2006. godine (u daljnjem tekstu: Sporazum o cestarini) </w:t>
      </w:r>
    </w:p>
    <w:p w:rsidR="002E3202" w:rsidRDefault="00391FE7">
      <w:r>
        <w:t xml:space="preserve">- Ugovor o doprinosu za pad prometa u odnosu na projektiranje, građenje, financiranje i upravljanje naplatnom autocestom Zagreb-Macelj u Hrvatskoj (TSCA) od 2. rujna 2003. godine, prva izmjena od 20. srpnja 2004. godine, druga izmjena od 18. rujna 2006. godine i treća izmjena 30. lipnja 2008. godine (u daljnjem tekstu: Ugovor o doprinosu za pad prometa) </w:t>
      </w:r>
    </w:p>
    <w:p w:rsidR="002E3202" w:rsidRDefault="00391FE7">
      <w:r>
        <w:t>- Sporazum o uređenju međusobnih odnosa u vezi održavanja dijela cestovnih objekata na autocesti A2 Zagreb-Macelj od 7. svibnja 2018. godine, člancima 41.2 i 41.8 stavkom (e) Ugovora te člankom 29. Zakona o cestama (u daljnjem tekstu: Sporazum o održavanju)</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K570344</w:t>
            </w:r>
          </w:p>
        </w:tc>
        <w:tc>
          <w:tcPr>
            <w:tcW w:w="1632" w:type="dxa"/>
            <w:vAlign w:val="top"/>
          </w:tcPr>
          <w:p w:rsidR="002E3202" w:rsidRDefault="00391FE7">
            <w:pPr>
              <w:jc w:val="right"/>
            </w:pPr>
            <w:r>
              <w:t>14.792.032</w:t>
            </w:r>
          </w:p>
        </w:tc>
        <w:tc>
          <w:tcPr>
            <w:tcW w:w="1632" w:type="dxa"/>
            <w:vAlign w:val="top"/>
          </w:tcPr>
          <w:p w:rsidR="002E3202" w:rsidRDefault="00391FE7">
            <w:pPr>
              <w:jc w:val="right"/>
            </w:pPr>
            <w:r>
              <w:t>15.045.000</w:t>
            </w:r>
          </w:p>
        </w:tc>
        <w:tc>
          <w:tcPr>
            <w:tcW w:w="1632" w:type="dxa"/>
            <w:vAlign w:val="top"/>
          </w:tcPr>
          <w:p w:rsidR="002E3202" w:rsidRDefault="00391FE7">
            <w:pPr>
              <w:jc w:val="right"/>
            </w:pPr>
            <w:r>
              <w:t>16.742.997</w:t>
            </w:r>
          </w:p>
        </w:tc>
        <w:tc>
          <w:tcPr>
            <w:tcW w:w="1632" w:type="dxa"/>
            <w:vAlign w:val="top"/>
          </w:tcPr>
          <w:p w:rsidR="002E3202" w:rsidRDefault="00391FE7">
            <w:pPr>
              <w:jc w:val="right"/>
            </w:pPr>
            <w:r>
              <w:t>15.984.719</w:t>
            </w:r>
          </w:p>
        </w:tc>
        <w:tc>
          <w:tcPr>
            <w:tcW w:w="1632" w:type="dxa"/>
            <w:vAlign w:val="top"/>
          </w:tcPr>
          <w:p w:rsidR="002E3202" w:rsidRDefault="00391FE7">
            <w:pPr>
              <w:jc w:val="right"/>
            </w:pPr>
            <w:r>
              <w:t>26.806.132</w:t>
            </w:r>
          </w:p>
        </w:tc>
        <w:tc>
          <w:tcPr>
            <w:tcW w:w="510" w:type="dxa"/>
            <w:vAlign w:val="top"/>
          </w:tcPr>
          <w:p w:rsidR="002E3202" w:rsidRDefault="00391FE7">
            <w:pPr>
              <w:jc w:val="right"/>
            </w:pPr>
            <w:r>
              <w:t>111,3</w:t>
            </w:r>
          </w:p>
        </w:tc>
      </w:tr>
    </w:tbl>
    <w:p w:rsidR="002E3202" w:rsidRDefault="002E3202">
      <w:pPr>
        <w:jc w:val="left"/>
      </w:pPr>
    </w:p>
    <w:p w:rsidR="002E3202" w:rsidRDefault="00391FE7">
      <w:r>
        <w:t xml:space="preserve">Navedena aktivnost provodi se kontinuirano do isteka Ugovora o koncesiji odnosno do 2032. godine.    </w:t>
      </w:r>
    </w:p>
    <w:p w:rsidR="002E3202" w:rsidRDefault="00391FE7">
      <w:r>
        <w:t xml:space="preserve">Koncesionaru, društvu Autocesta Zagreb-Macelj d.o.o. isplaćuju se sredstva iz Državnog proračuna temeljem subvencija, kapitalnih pomoći i danih zajmova.    </w:t>
      </w:r>
    </w:p>
    <w:p w:rsidR="002E3202" w:rsidRDefault="00391FE7">
      <w:r>
        <w:t xml:space="preserve">Sa subvencija se koncesionaru isplaćuje posebni doprinos sukladno čl. 30.8 Ugovora o koncesiji, koji predstavlja specijalni doprinos u visini plaćenog PDV-a na ukupan iznos cestarine vozila koja prometuju koncesijskim područjem pod upravljanjem društva Autocesta Zagreb-Macelj d.o.o.. Koncesionaru se također isplaćuje naknada za cestarinu sukladno gore navedenom Sporazumu o cestarini u visini 56% cestarine za vozila koja prometuju na dionici Mokrice – Krapina. Naime, Republika Hrvatska koncesionaru za svako vozilo koje prometuje na dionici Mokrice-Krapina isplaćuje 56% iznosa cestarine za koje je to vozilo platilo umanjenu cestarinu za navedeni postotak.  </w:t>
      </w:r>
    </w:p>
    <w:p w:rsidR="002E3202" w:rsidRDefault="00391FE7">
      <w:r>
        <w:t xml:space="preserve">Na navedenoj stavci, na računu subvencije planirani su slijedeći iznosi po godinama:   </w:t>
      </w:r>
    </w:p>
    <w:p w:rsidR="002E3202" w:rsidRDefault="00391FE7">
      <w:r>
        <w:t xml:space="preserve">- 2024. godina iznos od 11.441.000 eura; od čega obveze po Ugovoru o koncesiji: 10.169.576 eura, Sporazum o cestarini: 1.271.424 eura   </w:t>
      </w:r>
    </w:p>
    <w:p w:rsidR="002E3202" w:rsidRDefault="00391FE7">
      <w:r>
        <w:t xml:space="preserve">- 2025. godina iznos od 12.179.000 eura; od čega obveze po Ugovoru o koncesiji: 10.825.015 eura, Sporazum o cestarini: 1.353.985 eura   </w:t>
      </w:r>
    </w:p>
    <w:p w:rsidR="002E3202" w:rsidRDefault="00391FE7">
      <w:r>
        <w:t xml:space="preserve">- 2026. godina iznos od 12.965.000 eura; od čega obveze po Ugovoru o koncesiji: 11.523.513 eura, Sporazum o cestarini: 1.441.486 eura   </w:t>
      </w:r>
    </w:p>
    <w:p w:rsidR="002E3202" w:rsidRDefault="00391FE7">
      <w:r>
        <w:t xml:space="preserve">S računa zajma Državnog proračuna koncesionaru se nadoknađuje razlika prognoziranih prihoda i rashoda odnosno, stvarno ostvarenih prihoda i rashoda, sukladno Ugovoru o doprinosu za pad prometa (TSCA), koji je obveza Republike Hrvatske, kao davatelja koncesije. Temeljem navedenoga koncesionaru se isplaćuju  sredstva koja predstavljaju kredit, a koncesijsko društvo, Autocesta Zagreb-Macelj d.o.o. ga se obvezuje vratiti u Državni proračun, sa kamatom od 6 % obračunatom do trenutka vraćanja, kada se za to stvore ugovorni uvjeti. Naime, uz autocestu Zagreb-Macelj nalazi se državna cesta DC1 (G.P. Macelj (gr. R. Slovenije) – Krapina – Zagreb – Karlovac – Gračac – Knin – Brnaze – Split (D8)), koja je ujedno i prihvatljiv alternativni prometni pravac za vozila koja prometuju navedenom dionicom. Nadalje, promet navedenom dionicom neposredno utječe na smanjenje broja prolazaka vozila koncesijskim područjem pod upravljanjem društva Autocesta Zagreb-Macelj d.o.o.. Manji broj vozila direktno dovodi do smanjenja iznosa koji je Republika Hrvatska, temeljem ugovorne dokumentacije, dužna isplatiti za iznose PDV-a cestarine za vozila koja prometuju koncesijskim područjem i 56% iznosa cestarine koji korisnici autoceste plaćaju prolaskom dionice Mokrice-Krapina. Istovremeno, smanjenjem prometa, a posljedično i prihoda na koncesijskom području pod upravljanjem društva Autocesta Zagreb-Macelj d.o.o. Republika Hrvatska temeljem Ugovora o doprinosu za pad prometa (TSCA)  isplaćuje veći iznos TSCA za razliku od prognoziranih odnosno ostvarenih rashoda/prihoda uzrokovanih padom prometa na koncesijskom području, a sve sukladno ugovornoj dokumentaciji.   </w:t>
      </w:r>
    </w:p>
    <w:p w:rsidR="002E3202" w:rsidRDefault="00391FE7">
      <w:r>
        <w:t xml:space="preserve">Na navedenoj stavci na računu dani zajmovi planirani su slijedeći iznosi za TSCA po godinama:   </w:t>
      </w:r>
    </w:p>
    <w:p w:rsidR="002E3202" w:rsidRDefault="00391FE7">
      <w:r>
        <w:t xml:space="preserve">- 2024. godina iznos od 2.000.000 eura   </w:t>
      </w:r>
    </w:p>
    <w:p w:rsidR="002E3202" w:rsidRDefault="00391FE7">
      <w:r>
        <w:t xml:space="preserve">- 2025. godina iznos od 2.000.000 eura   </w:t>
      </w:r>
    </w:p>
    <w:p w:rsidR="002E3202" w:rsidRDefault="00391FE7">
      <w:r>
        <w:t xml:space="preserve">- 2026. godina iznos od 5.000.000 eura  </w:t>
      </w:r>
    </w:p>
    <w:p w:rsidR="002E3202" w:rsidRDefault="00391FE7">
      <w:r>
        <w:t xml:space="preserve">Na računu kapitalne pomoći, sukladno obvezama koje proizlaze iz Ugovora o koncesiji, planirana su sredstva koja su namijenjena za financiranje kapitalnih ulaganja i to kako slijedi po godinama:    </w:t>
      </w:r>
    </w:p>
    <w:p w:rsidR="002E3202" w:rsidRDefault="00391FE7">
      <w:r>
        <w:t xml:space="preserve">2024. godini iznos od 3.301.997 eura za slijedeća kapitalna ulaganja: za provedbu mjera za zaštitu od buke (izgradnja zidova za zaštitu od buke) temeljem odredbi Zakona o zaštiti od buke (čl. 6. i 19.), proširenje dionice C2 u duljini od 3,75 km sa jednim kolnikom u rješenje sa dva kolnika (puni profil autoceste) usklađenja tunela sukladno Pravilniku o minimalnim sigurnosnim zahtjevima za tunele s EU direktivom 54/2004, za provedbu privremenih mjera usklađenja tunela sukladno Pravilniku o minimalnim sigurnosnim zahtjevima za tunele s EU direktivom 54/2004 (najam vatrogasne cisterne, a u razdoblju od 12 mjeseci, cijelu godinu od 01.01. do 31.12., primjena dodatnih mjere do izgradnje zapadnih tunelskih cijevi tunela Sv. Tri Kralja i Brezovica, dodatne mjere sastoje se od postavljanja vatrogasne postrojbe s jednim navalnim vatrogasnim vozilom s najmanje dva vatrogasca i autocisternom s jednim vatrogascem kapaciteta od 5.000 litara na južni portal tunela Sv. Tri Kralja), rekonstrukcija sustava javne rasvjete tunela autoceste (tuneli Sveta Tri Kralja, Brezovica i Vidovci), održavanje nadvožnjaka temeljem članka 29.1 Zakona o cestama (članak 41.1 Ugovora o koncesiji) - glavni pregled objekata. </w:t>
      </w:r>
    </w:p>
    <w:p w:rsidR="002E3202" w:rsidRDefault="00391FE7">
      <w:r>
        <w:t xml:space="preserve">2025. godini iznos od 1.805.719 eura za slijedeća kapitalna ulaganja: za provedbu mjera za zaštitu od buke (izgradnja zidova za zaštitu od buke) temeljem odredbi Zakona o zaštiti od buke (čl. 6. i 19.), proširenje dionice C2 u duljini od 3,75 km sa jednim kolnikom u rješenje sa dva kolnika (puni profil autoceste) usklađenja tunela sukladno Pravilniku o minimalnim sigurnosnim zahtjevima za tunele s EU direktivom 54/2004, za provedbu privremenih mjera usklađenja tunela sukladno Pravilniku o minimalnim sigurnosnim zahtjevima za tunele s EU direktivom 54/2004 (najam vatrogasne cisterne, a u razdoblju od 12 mjeseci, cijelu godinu od 01.01. do 31.12., primjena dodatnih mjere do izgradnje zapadnih tunelskih cijevi tunela Sv. Tri Kralja i Brezovica, dodatne mjere sastoje se od postavljanja vatrogasne postrojbe s jednim navalnim vatrogasnim vozilom s najmanje dva vatrogasca i autocisternom s jednim vatrogascem kapaciteta od 5.000 litara na južni portal tunela Sv. Tri Kralja), rekonstrukcija sustava javne rasvjete tunela autoceste (tuneli Levačica, Đurmanec i Frukov Krč). </w:t>
      </w:r>
    </w:p>
    <w:p w:rsidR="002E3202" w:rsidRDefault="00391FE7">
      <w:r>
        <w:t>2026. godini iznos od 8.841.132 eura za slijedeća kapitalna ulaganja: za provedbu mjera za zaštitu od buke (izgradnja zidova za zaštitu od buke) temeljem odredbi Zakona o zaštiti od buke (čl. 6. i 19.), proširenje dionice C2 u duljini od 3,75 km sa jednim kolnikom u rješenje sa dva kolnika (puni profil autoceste) usklađenja tunela sukladno Pravilniku o minimalnim sigurnosnim zahtjevima za tunele s EU direktivom 54/2004, za provedbu privremenih mjera usklađenja tunela sukladno Pravilniku o minimalnim sigurnosnim zahtjevima za tunele s EU direktivom 54/2004 (najam vatrogasne cisterne, a u razdoblju od 12 mjeseci cijelu godinu, od 01.01. do 31.12., primjena dodatnih mjere do izgradnje zapadnih tunelskih cijevi tunela Sv. Tri Kralja i Brezovica, dodatne mjere sastoje se od postavljanja vatrogasne postrojbe s jednim navalnim vatrogasnim vozilom s najmanje dva vatrogasca i autocisternom s jednim vatrogascem kapaciteta od 5.000 litara na južni portal tunela Sv. Tri Kralja).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Broj kilometara investicijski održavanih autocesta u nadležnosti AZM-a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Sukladno obvezama proizašlih iz Ugovora o koncesiji dio sredstava namijenjen je za održavanje autocesta u nadležnosti AZM-a</w:t>
            </w:r>
          </w:p>
        </w:tc>
        <w:tc>
          <w:tcPr>
            <w:tcW w:w="918" w:type="dxa"/>
          </w:tcPr>
          <w:p w:rsidR="002E3202" w:rsidRDefault="00391FE7">
            <w:pPr>
              <w:jc w:val="center"/>
            </w:pPr>
            <w:r>
              <w:t>km</w:t>
            </w:r>
          </w:p>
        </w:tc>
        <w:tc>
          <w:tcPr>
            <w:tcW w:w="918" w:type="dxa"/>
          </w:tcPr>
          <w:p w:rsidR="002E3202" w:rsidRDefault="00391FE7">
            <w:pPr>
              <w:jc w:val="center"/>
            </w:pPr>
            <w:r>
              <w:t>7</w:t>
            </w:r>
          </w:p>
        </w:tc>
        <w:tc>
          <w:tcPr>
            <w:tcW w:w="918" w:type="dxa"/>
          </w:tcPr>
          <w:p w:rsidR="002E3202" w:rsidRDefault="00391FE7">
            <w:pPr>
              <w:pStyle w:val="CellColumn"/>
              <w:jc w:val="center"/>
            </w:pPr>
            <w:r>
              <w:rPr>
                <w:rFonts w:cs="Times New Roman"/>
              </w:rPr>
              <w:t>Autocesta Zagreb-Macelj d.o.o.</w:t>
            </w:r>
          </w:p>
        </w:tc>
        <w:tc>
          <w:tcPr>
            <w:tcW w:w="918" w:type="dxa"/>
          </w:tcPr>
          <w:p w:rsidR="002E3202" w:rsidRDefault="00391FE7">
            <w:pPr>
              <w:jc w:val="center"/>
            </w:pPr>
            <w:r>
              <w:t>7</w:t>
            </w:r>
          </w:p>
        </w:tc>
        <w:tc>
          <w:tcPr>
            <w:tcW w:w="918" w:type="dxa"/>
          </w:tcPr>
          <w:p w:rsidR="002E3202" w:rsidRDefault="00391FE7">
            <w:pPr>
              <w:jc w:val="center"/>
            </w:pPr>
            <w:r>
              <w:t>6</w:t>
            </w:r>
          </w:p>
        </w:tc>
        <w:tc>
          <w:tcPr>
            <w:tcW w:w="918" w:type="dxa"/>
          </w:tcPr>
          <w:p w:rsidR="002E3202" w:rsidRDefault="00391FE7">
            <w:pPr>
              <w:jc w:val="center"/>
            </w:pPr>
            <w:r>
              <w:t>6</w:t>
            </w:r>
          </w:p>
        </w:tc>
      </w:tr>
    </w:tbl>
    <w:p w:rsidR="002E3202" w:rsidRDefault="002E3202">
      <w:pPr>
        <w:jc w:val="left"/>
      </w:pPr>
    </w:p>
    <w:p w:rsidR="002E3202" w:rsidRDefault="00391FE7">
      <w:pPr>
        <w:pStyle w:val="Heading4"/>
      </w:pPr>
      <w:r>
        <w:t>T587084 INTERREG PROJEKT ACTIVE2PUBLIC TRANSPORT - PODRŠKA BOLJEM KOMBINIRANJU BICIKLIZMA, PJEŠAČENJA I JAVNOG PRIJEVOZA U DUNAVSKOJ REGIJI</w:t>
      </w:r>
    </w:p>
    <w:p w:rsidR="002E3202" w:rsidRDefault="00391FE7">
      <w:pPr>
        <w:pStyle w:val="Heading8"/>
        <w:jc w:val="left"/>
      </w:pPr>
      <w:r>
        <w:t>Zakonske i druge pravne osnove</w:t>
      </w:r>
    </w:p>
    <w:p w:rsidR="002E3202" w:rsidRDefault="00391FE7">
      <w:r>
        <w:t xml:space="preserve">- Zakon o cestama   </w:t>
      </w:r>
    </w:p>
    <w:p w:rsidR="002E3202" w:rsidRDefault="00391FE7">
      <w:r>
        <w:t xml:space="preserve">- Direktiva 2010/40/EU Europskog parlamenta i Vijeća od 7. srpnja 2010. godine o okviru za uvođenje inteligentnih prometnih sustava u cestovnom prometu i za veze s ostalim vrstama prijevoza  </w:t>
      </w:r>
    </w:p>
    <w:p w:rsidR="002E3202" w:rsidRDefault="00391FE7">
      <w:r>
        <w:t>- Delegirana uredba Komisije (EU) 2017/1926 od 31. svibnja 2017. godine o dopuni Direktive 2010/40/EU Europskog parlamenta i Vijeća u pogledu pružanja informacija o multimodalnim putovanjima na razini EU-a (SL L 272, 21.10.2017.)</w:t>
      </w:r>
    </w:p>
    <w:tbl>
      <w:tblPr>
        <w:tblStyle w:val="StilTablice"/>
        <w:tblW w:w="10206" w:type="dxa"/>
        <w:jc w:val="center"/>
        <w:tblLook w:val="04A0" w:firstRow="1" w:lastRow="0" w:firstColumn="1" w:lastColumn="0" w:noHBand="0" w:noVBand="1"/>
      </w:tblPr>
      <w:tblGrid>
        <w:gridCol w:w="1476"/>
        <w:gridCol w:w="1565"/>
        <w:gridCol w:w="1540"/>
        <w:gridCol w:w="1549"/>
        <w:gridCol w:w="1557"/>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T587084</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1632" w:type="dxa"/>
            <w:vAlign w:val="top"/>
          </w:tcPr>
          <w:p w:rsidR="002E3202" w:rsidRDefault="00391FE7">
            <w:pPr>
              <w:jc w:val="right"/>
            </w:pPr>
            <w:r>
              <w:t>72.980</w:t>
            </w:r>
          </w:p>
        </w:tc>
        <w:tc>
          <w:tcPr>
            <w:tcW w:w="1632" w:type="dxa"/>
            <w:vAlign w:val="top"/>
          </w:tcPr>
          <w:p w:rsidR="002E3202" w:rsidRDefault="00391FE7">
            <w:pPr>
              <w:jc w:val="right"/>
            </w:pPr>
            <w:r>
              <w:t>144.600</w:t>
            </w:r>
          </w:p>
        </w:tc>
        <w:tc>
          <w:tcPr>
            <w:tcW w:w="1632" w:type="dxa"/>
            <w:vAlign w:val="top"/>
          </w:tcPr>
          <w:p w:rsidR="002E3202" w:rsidRDefault="00391FE7">
            <w:pPr>
              <w:jc w:val="right"/>
            </w:pPr>
            <w:r>
              <w:t>21.294</w:t>
            </w:r>
          </w:p>
        </w:tc>
        <w:tc>
          <w:tcPr>
            <w:tcW w:w="510" w:type="dxa"/>
            <w:vAlign w:val="top"/>
          </w:tcPr>
          <w:p w:rsidR="002E3202" w:rsidRDefault="00391FE7">
            <w:pPr>
              <w:jc w:val="right"/>
            </w:pPr>
            <w:r>
              <w:t>0,0</w:t>
            </w:r>
          </w:p>
        </w:tc>
      </w:tr>
    </w:tbl>
    <w:p w:rsidR="002E3202" w:rsidRDefault="002E3202">
      <w:pPr>
        <w:jc w:val="left"/>
      </w:pPr>
    </w:p>
    <w:p w:rsidR="002E3202" w:rsidRDefault="00391FE7">
      <w:r>
        <w:t xml:space="preserve">Ministarstvo mora, prometa i infrastrukture na DRP (Danube Region Programme) poziv sudjeluje u podnošenju prijave za projekt „DRP0200217 – Active2Public Transport“. </w:t>
      </w:r>
    </w:p>
    <w:p w:rsidR="002E3202" w:rsidRDefault="00391FE7">
      <w:r>
        <w:t xml:space="preserve">U projektu je do sada sudjelovanje potvrdilo sljedećih 9 država: Austrija, Slovačka, Srbija, Njemačka, Mađarska, Češka, Slovenija, Rumunjska i Hrvatska, odnosno ukupno 11 partnera, a vodeći je partner Austrijska energetska agencija. </w:t>
      </w:r>
    </w:p>
    <w:p w:rsidR="002E3202" w:rsidRDefault="00391FE7">
      <w:r>
        <w:t xml:space="preserve">Očekivano trajanje projekta je 30 mjeseci, a ukupna procijenjena vrijednost projekta iznosi oko 2.800.000,00 EUR. </w:t>
      </w:r>
    </w:p>
    <w:p w:rsidR="002E3202" w:rsidRDefault="00391FE7">
      <w:r>
        <w:t xml:space="preserve">Cilj projekta je doprinos „ozelenjivanju“ energetskog i prometnog sektora u dunavskoj regiji, a predstavlja nastavak uspješno provedenog DTP projekta Danube Cycle Plans. </w:t>
      </w:r>
    </w:p>
    <w:p w:rsidR="002E3202" w:rsidRDefault="00391FE7">
      <w:r>
        <w:t>Da bi se postiglo smanjenje prometnih emisija za 90%, kako je predviđeno Europskim zelenim planom, nužno je otići dalje od poboljšanja učinkovitosti vozila te prelaska na električna vozila. Mjere u putničkom prijevozu moraju biti više usmjerene na podršku multimodalnom prelasku na aktivni javni prijevoz. Bicikliranje i pješačenje najučinkovitiji su i jedini načini putovanja koji su u potpunosti bez ugljika, posebno na kratkim udaljenostima. Boljim povezivanjem aktivnog javnog prijevoza omogućit će se atraktivne alternative putovanjima automobilom na srednjim i većim udaljenostima. Rješenja razvijena i testirana u sklopu projekta pomoći će da se nadvladaju postojeće praznine u multimodalnom prometnom sustavu i uključivat će sve oblike aktivnog putovanja do bilo koje stanice javnog prijevoza. To uključuje parkirališta, rješenja za prijevoz bicikala tijekom vožnje autobusom ili vlakom te odlaske sa stanica javnog prijevoza, primjerice korištenjem bike sharing sustava. Akcijski plan projekta, podržan nacionalnim i regionalnim akcijskim planovima, pružit će strateški okvir za sustavno poboljšanje povezanosti aktivnog javnog prijevoza u prometnim čvorištima te prema suvremenim središtima mobilnosti. Online alatni okvir koji će izraditi projektni partneri pružit će smjernice za provedbu inovativnih rješenja za prevladavanje postojećih nedostataka u multimodalnom sustavu aktivnog javnog prijevoza. Ovaj alatni okvir pokazat će kako unaprijediti postojeća suvremena rješenja obogaćena iskustvima iz pilot akcija, koje će partneri provoditi u različitim dijelovima dunavske regije. Zajednička provedba projekta u transnacionalnom okruženju nadahnut će stručnjake svih uključenih organizacija (lokalna/regionalna/nacionalna javna tijela, nevladine organizacije, pružatelje usluga/infrastrukture) da nadvladaju svoj tradicionalno uski, „monomodalni“, i često automobilski orijentirani, fokus u korist većeg broja boljih usluga aktivnog javnog prijevoza i infrastrukture izvan ograničenog geografskog područja provedbe pilot akcija.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izvršenih aktivnosti projekta</w:t>
            </w:r>
          </w:p>
        </w:tc>
        <w:tc>
          <w:tcPr>
            <w:tcW w:w="2245" w:type="dxa"/>
            <w:vAlign w:val="top"/>
          </w:tcPr>
          <w:p w:rsidR="002E3202" w:rsidRDefault="00391FE7">
            <w:pPr>
              <w:pStyle w:val="CellColumn"/>
              <w:jc w:val="left"/>
            </w:pPr>
            <w:r>
              <w:rPr>
                <w:rFonts w:cs="Times New Roman"/>
              </w:rPr>
              <w:t>Izvršenjem 3 planirane aktivnosti omogućit će se unaprjeđenje kombiniranja aktivne mobilnosti i javnog prijevoza (putovanje biciklom i vlakom)</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0</w:t>
            </w:r>
          </w:p>
        </w:tc>
        <w:tc>
          <w:tcPr>
            <w:tcW w:w="918" w:type="dxa"/>
          </w:tcPr>
          <w:p w:rsidR="002E3202" w:rsidRDefault="00391FE7">
            <w:pPr>
              <w:jc w:val="center"/>
            </w:pPr>
            <w:r>
              <w:t>0</w:t>
            </w:r>
          </w:p>
        </w:tc>
        <w:tc>
          <w:tcPr>
            <w:tcW w:w="918" w:type="dxa"/>
          </w:tcPr>
          <w:p w:rsidR="002E3202" w:rsidRDefault="00391FE7">
            <w:pPr>
              <w:jc w:val="center"/>
            </w:pPr>
            <w:r>
              <w:t>3</w:t>
            </w:r>
          </w:p>
        </w:tc>
      </w:tr>
    </w:tbl>
    <w:p w:rsidR="002E3202" w:rsidRDefault="002E3202">
      <w:pPr>
        <w:jc w:val="left"/>
      </w:pPr>
    </w:p>
    <w:p w:rsidR="002E3202" w:rsidRDefault="00391FE7">
      <w:pPr>
        <w:pStyle w:val="Heading4"/>
      </w:pPr>
      <w:r>
        <w:t>T754082 POMOĆI BIH U PROMETNOJ POVEZANOSTI I INTEGRACIJI</w:t>
      </w:r>
    </w:p>
    <w:p w:rsidR="002E3202" w:rsidRDefault="00391FE7">
      <w:pPr>
        <w:pStyle w:val="Heading8"/>
        <w:jc w:val="left"/>
      </w:pPr>
      <w:r>
        <w:t>Zakonske i druge pravne osnove</w:t>
      </w:r>
    </w:p>
    <w:p w:rsidR="002E3202" w:rsidRDefault="00391FE7">
      <w:r>
        <w:t>- Odluka Vlade Republike Hrvatske vezano za sufinanciranje projekta izgradnje regionalne ceste R428 na dionici Zavala - Orahov Do - Granica RH (Slano) u duljini od 10 kilometara</w:t>
      </w:r>
    </w:p>
    <w:tbl>
      <w:tblPr>
        <w:tblStyle w:val="StilTablice"/>
        <w:tblW w:w="10206" w:type="dxa"/>
        <w:jc w:val="center"/>
        <w:tblLook w:val="04A0" w:firstRow="1" w:lastRow="0" w:firstColumn="1" w:lastColumn="0" w:noHBand="0" w:noVBand="1"/>
      </w:tblPr>
      <w:tblGrid>
        <w:gridCol w:w="1474"/>
        <w:gridCol w:w="1562"/>
        <w:gridCol w:w="1555"/>
        <w:gridCol w:w="1569"/>
        <w:gridCol w:w="1538"/>
        <w:gridCol w:w="1538"/>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T754082</w:t>
            </w:r>
          </w:p>
        </w:tc>
        <w:tc>
          <w:tcPr>
            <w:tcW w:w="1632" w:type="dxa"/>
            <w:vAlign w:val="top"/>
          </w:tcPr>
          <w:p w:rsidR="002E3202" w:rsidRDefault="00391FE7">
            <w:pPr>
              <w:jc w:val="right"/>
            </w:pPr>
            <w:r>
              <w:t>00</w:t>
            </w:r>
          </w:p>
        </w:tc>
        <w:tc>
          <w:tcPr>
            <w:tcW w:w="1632" w:type="dxa"/>
            <w:vAlign w:val="top"/>
          </w:tcPr>
          <w:p w:rsidR="002E3202" w:rsidRDefault="00391FE7">
            <w:pPr>
              <w:jc w:val="right"/>
            </w:pPr>
            <w:r>
              <w:t>750.000</w:t>
            </w:r>
          </w:p>
        </w:tc>
        <w:tc>
          <w:tcPr>
            <w:tcW w:w="1632" w:type="dxa"/>
            <w:vAlign w:val="top"/>
          </w:tcPr>
          <w:p w:rsidR="002E3202" w:rsidRDefault="00391FE7">
            <w:pPr>
              <w:jc w:val="right"/>
            </w:pPr>
            <w:r>
              <w:t>4.318.070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575,7</w:t>
            </w:r>
          </w:p>
        </w:tc>
      </w:tr>
    </w:tbl>
    <w:p w:rsidR="002E3202" w:rsidRDefault="002E3202">
      <w:pPr>
        <w:jc w:val="left"/>
      </w:pPr>
    </w:p>
    <w:p w:rsidR="002E3202" w:rsidRDefault="00391FE7">
      <w:r>
        <w:t>Cilj projekta je prometno povezati i integrirati općinu Ravno (BiH) sa njezinim prirodnim prometnim okruženjem, kako u Bosni i Hercegovini tako i u Republici Hrvatskoj. U tom smislu nezaobilazna i od velike važnosti je prometna veza prekograničnog cestovnog pravca Ravno-Zavala-Orahov Do-Granica RH (Slano). Na navedenom pravcu na području općine Ravno egzistira regionalna cesta R428 u dužini od 19 km koja se na GP Slano spaja na županijsku cestu ŽC6232 u Republici Hrvatskoj. Predmetna cesta podijeljena je na tri dionice od kojih je prva dionica u dužini od 4 km u fazi rekonstrukcije sa očekivanim završetkom radova do kraja 2023. godine, dok je druga dionica u dužini od 5 km rekonstruirana 2009. godine i u dobrom je stanju. Republika Hrvatska sufinancirala bi izgradnju treće dionice navedene ceste Zavala-Orahov Do-Granica RH (Slano) u dužini od 10 km.</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Broj novoizgrađenih kilometara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Izgradnja dionice Zavala-Orahov Do-Granica RH (Slano) pridonosi kvalitetnijoj prometnoj povezanosti RH i BiH.</w:t>
            </w:r>
          </w:p>
        </w:tc>
        <w:tc>
          <w:tcPr>
            <w:tcW w:w="918" w:type="dxa"/>
          </w:tcPr>
          <w:p w:rsidR="002E3202" w:rsidRDefault="00391FE7">
            <w:pPr>
              <w:jc w:val="center"/>
            </w:pPr>
            <w:r>
              <w:t>km</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Općina Ravno (BiH)</w:t>
            </w:r>
          </w:p>
        </w:tc>
        <w:tc>
          <w:tcPr>
            <w:tcW w:w="918" w:type="dxa"/>
          </w:tcPr>
          <w:p w:rsidR="002E3202" w:rsidRDefault="00391FE7">
            <w:pPr>
              <w:jc w:val="center"/>
            </w:pPr>
            <w:r>
              <w:t>10,00</w:t>
            </w:r>
          </w:p>
        </w:tc>
        <w:tc>
          <w:tcPr>
            <w:tcW w:w="918" w:type="dxa"/>
          </w:tcPr>
          <w:p w:rsidR="002E3202" w:rsidRDefault="00391FE7">
            <w:pPr>
              <w:jc w:val="center"/>
            </w:pPr>
            <w:r>
              <w:t>0</w:t>
            </w:r>
          </w:p>
        </w:tc>
        <w:tc>
          <w:tcPr>
            <w:tcW w:w="918" w:type="dxa"/>
          </w:tcPr>
          <w:p w:rsidR="002E3202" w:rsidRDefault="00391FE7">
            <w:pPr>
              <w:jc w:val="center"/>
            </w:pPr>
            <w:r>
              <w:t>0</w:t>
            </w:r>
          </w:p>
        </w:tc>
      </w:tr>
    </w:tbl>
    <w:p w:rsidR="002E3202" w:rsidRDefault="002E3202">
      <w:pPr>
        <w:jc w:val="left"/>
      </w:pPr>
    </w:p>
    <w:p w:rsidR="002E3202" w:rsidRDefault="00391FE7">
      <w:pPr>
        <w:pStyle w:val="Heading4"/>
      </w:pPr>
      <w:r>
        <w:t>T810065 CEF PSA - RAZVOJ STANDARDA ZA PRUŽANJE MULTIMODALNIH PUTNIH INFORMACIJA</w:t>
      </w:r>
    </w:p>
    <w:p w:rsidR="002E3202" w:rsidRDefault="00391FE7">
      <w:pPr>
        <w:pStyle w:val="Heading8"/>
        <w:jc w:val="left"/>
      </w:pPr>
      <w:r>
        <w:t>Zakonske i druge pravne osnove</w:t>
      </w:r>
    </w:p>
    <w:p w:rsidR="002E3202" w:rsidRDefault="00391FE7">
      <w:r>
        <w:t xml:space="preserve">- Zakon o cestama   </w:t>
      </w:r>
    </w:p>
    <w:p w:rsidR="002E3202" w:rsidRDefault="00391FE7">
      <w:r>
        <w:t xml:space="preserve">- Direktiva 2010/40/EU Europskog parlamenta i Vijeća od 7. srpnja 2010. godine o okviru za uvođenje inteligentnih prometnih sustava u cestovnom prometu i za veze s ostalim vrstama prijevoza  </w:t>
      </w:r>
    </w:p>
    <w:p w:rsidR="002E3202" w:rsidRDefault="00391FE7">
      <w:r>
        <w:t xml:space="preserve">- Delegirana uredba Komisije (EU) 2017/1926 od 31. svibnja 2017. godine o dopuni Direktive 2010/40/EU Europskog parlamenta i Vijeća u pogledu pružanja informacija o multimodalnim putovanjima na razini EU-a (SL L 272, 21.10.2017.)  </w:t>
      </w:r>
    </w:p>
    <w:p w:rsidR="002E3202" w:rsidRDefault="00391FE7">
      <w:r>
        <w:t>- Grant Agreement No MOVE/B4/SUB/2019-104/CEF/PSA/SI2.821136</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T810065</w:t>
            </w:r>
          </w:p>
        </w:tc>
        <w:tc>
          <w:tcPr>
            <w:tcW w:w="1632" w:type="dxa"/>
            <w:vAlign w:val="top"/>
          </w:tcPr>
          <w:p w:rsidR="002E3202" w:rsidRDefault="00391FE7">
            <w:pPr>
              <w:jc w:val="right"/>
            </w:pPr>
            <w:r>
              <w:t>14.570</w:t>
            </w:r>
          </w:p>
        </w:tc>
        <w:tc>
          <w:tcPr>
            <w:tcW w:w="1632" w:type="dxa"/>
            <w:vAlign w:val="top"/>
          </w:tcPr>
          <w:p w:rsidR="002E3202" w:rsidRDefault="00391FE7">
            <w:pPr>
              <w:jc w:val="right"/>
            </w:pPr>
            <w:r>
              <w:t>30.923</w:t>
            </w:r>
          </w:p>
        </w:tc>
        <w:tc>
          <w:tcPr>
            <w:tcW w:w="1632" w:type="dxa"/>
            <w:vAlign w:val="top"/>
          </w:tcPr>
          <w:p w:rsidR="002E3202" w:rsidRDefault="00391FE7">
            <w:pPr>
              <w:jc w:val="right"/>
            </w:pPr>
            <w:r>
              <w:t>25.319</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81,9</w:t>
            </w:r>
          </w:p>
        </w:tc>
      </w:tr>
    </w:tbl>
    <w:p w:rsidR="002E3202" w:rsidRDefault="002E3202">
      <w:pPr>
        <w:jc w:val="left"/>
      </w:pPr>
    </w:p>
    <w:p w:rsidR="002E3202" w:rsidRDefault="00391FE7">
      <w:r>
        <w:t xml:space="preserve">Izvršenjem projekta omogućiti će se ostvarenje tehničkih i organizacijskih aktivnosti za olakšavanje razvoja i uvođenja europskih standarda za pružanje multimodalnih putnih informacija (Transmodel, NeTEx i SIRI) na razini Europske unije koje se primjenjuju na TEN-T cestovnoj mreži, uključujući urbana čvorišta. U projektu osim Hrvatske sudjeluju države članice EU, i to: Austrija, Češka, Francuska, Njemačka, Italija, Portugal, Slovenija i Švedska.  </w:t>
      </w:r>
    </w:p>
    <w:p w:rsidR="002E3202" w:rsidRDefault="00391FE7">
      <w:r>
        <w:t xml:space="preserve">Provođenje ove aktivnosti planirano je kroz sudjelovanje u slijedećim aktivnostima projekta:    </w:t>
      </w:r>
    </w:p>
    <w:p w:rsidR="002E3202" w:rsidRDefault="00391FE7">
      <w:r>
        <w:t xml:space="preserve">1. Koordinacija projekta: operativno upravljanje projektom, sudjelovanje na radionicama (forumima), izrada komunikacijske strategije, izrada alata i materijala koji uključuju izradu web stranice, letaka i sl.;   </w:t>
      </w:r>
    </w:p>
    <w:p w:rsidR="002E3202" w:rsidRDefault="00391FE7">
      <w:r>
        <w:t xml:space="preserve">2. Razvoj projekta: prikupljanje informacija o potrebama i zahtjevima država članica, priprema specifikacija za razvoj i/ili nadogradnju alata za provjeru otvorenog koda na temelju zahtjeva koje su države članice izrazile, ispitnu/testnu platformu za provođenje postupka usklađenosti;   </w:t>
      </w:r>
    </w:p>
    <w:p w:rsidR="002E3202" w:rsidRDefault="00391FE7">
      <w:r>
        <w:t xml:space="preserve">3. Podrška u implementaciji: priprema tehničke dokumentacije i održavanje iste, formiranje stručnog tima za provođenje projekta, edukacija stručnjaka, ažuriranje i pregled standarda, priprema profila;   </w:t>
      </w:r>
    </w:p>
    <w:p w:rsidR="002E3202" w:rsidRDefault="00391FE7">
      <w:r>
        <w:t xml:space="preserve">4. Primjena u praksi: operativna uporaba razvijenih alata, uključivanje gradova, regija i javnih prijevoznika u istu te izrada izvješća za navedeno;   </w:t>
      </w:r>
    </w:p>
    <w:p w:rsidR="002E3202" w:rsidRDefault="00391FE7">
      <w:r>
        <w:t xml:space="preserve">5. Diseminacija, procjena i održivost: održavanje lokalnih radionica, promocija, organizacija konferencija, evaluacija projekta te procjena rezultata.   </w:t>
      </w:r>
    </w:p>
    <w:p w:rsidR="002E3202" w:rsidRDefault="00391FE7">
      <w:r>
        <w:t xml:space="preserve">Predviđeno vrijeme trajanja projekta je do 30. lipnja 2024. godine pri čemu će se u svim godinama kontinuirano provoditi sve aktivnosti.  </w:t>
      </w:r>
    </w:p>
    <w:p w:rsidR="002E3202" w:rsidRDefault="00391FE7">
      <w:r>
        <w:t>Ukupni troškovi projekta u 2024. godini su 25.319,00 eura i odnose se na troškove službenika koji sudjeluju na projektu (trošak plaće, putni troškovi).</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izvršenih aktivnosti projekta koje će biti razrađene Nacrtom Grant Argumenta</w:t>
            </w:r>
          </w:p>
        </w:tc>
        <w:tc>
          <w:tcPr>
            <w:tcW w:w="2245" w:type="dxa"/>
            <w:vAlign w:val="top"/>
          </w:tcPr>
          <w:p w:rsidR="002E3202" w:rsidRDefault="00391FE7">
            <w:pPr>
              <w:pStyle w:val="CellColumn"/>
              <w:jc w:val="left"/>
            </w:pPr>
            <w:r>
              <w:rPr>
                <w:rFonts w:cs="Times New Roman"/>
              </w:rPr>
              <w:t>Izvršenje 5 aktivnosti definiranih Grant ugovorom omogućit će ostvarenje tehničkih i organizacijskih aktivnosti za olakšavanje razvoja i uvođenja europskih standarda za pružanje multimodalnih putnih informacija na razini EU</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5</w:t>
            </w:r>
          </w:p>
        </w:tc>
        <w:tc>
          <w:tcPr>
            <w:tcW w:w="918" w:type="dxa"/>
          </w:tcPr>
          <w:p w:rsidR="002E3202" w:rsidRDefault="00391FE7">
            <w:pPr>
              <w:jc w:val="center"/>
            </w:pPr>
            <w:r>
              <w:t>0</w:t>
            </w:r>
          </w:p>
        </w:tc>
        <w:tc>
          <w:tcPr>
            <w:tcW w:w="918" w:type="dxa"/>
          </w:tcPr>
          <w:p w:rsidR="002E3202" w:rsidRDefault="00391FE7">
            <w:pPr>
              <w:jc w:val="center"/>
            </w:pPr>
            <w:r>
              <w:t>0</w:t>
            </w:r>
          </w:p>
        </w:tc>
      </w:tr>
    </w:tbl>
    <w:p w:rsidR="002E3202" w:rsidRDefault="002E3202">
      <w:pPr>
        <w:jc w:val="left"/>
      </w:pPr>
    </w:p>
    <w:p w:rsidR="002E3202" w:rsidRDefault="00391FE7">
      <w:pPr>
        <w:pStyle w:val="Heading4"/>
      </w:pPr>
      <w:r>
        <w:t>T819077 CEF PSA NAPCOORE PROJEKT-PROGRAMSKA PODRŠKA ZA PROVEDBU MEHANIZMA KOORDINACIJE ZA OBJEDINJAVANJE NACIONALNIH PRISTUPNIH TOČAKA</w:t>
      </w:r>
    </w:p>
    <w:p w:rsidR="002E3202" w:rsidRDefault="00391FE7">
      <w:pPr>
        <w:pStyle w:val="Heading8"/>
        <w:jc w:val="left"/>
      </w:pPr>
      <w:r>
        <w:t>Zakonske i druge pravne osnove</w:t>
      </w:r>
    </w:p>
    <w:p w:rsidR="002E3202" w:rsidRDefault="00391FE7">
      <w:r>
        <w:t xml:space="preserve">- Zakon o cestama   </w:t>
      </w:r>
    </w:p>
    <w:p w:rsidR="002E3202" w:rsidRDefault="00391FE7">
      <w:r>
        <w:t xml:space="preserve">- Direktiva 2010/40/EU Europskog parlamenta i Vijeća od 7. srpnja 2010. godine o okviru za uvođenje inteligentnih prometnih sustava u cestovnom prometu i za veze s ostalim vrstama prijevoza  </w:t>
      </w:r>
    </w:p>
    <w:p w:rsidR="002E3202" w:rsidRDefault="00391FE7">
      <w:r>
        <w:t xml:space="preserve">- Delegirana uredba br. 886/2013 - za prioritetnu mjeru (c) podaci i postupci za pružanje korisnicima, gdje je to moguće, besplatnih osnovnih općih prometnih informacija u vezi s cestovnom sigurnosti,  </w:t>
      </w:r>
    </w:p>
    <w:p w:rsidR="002E3202" w:rsidRDefault="00391FE7">
      <w:r>
        <w:t xml:space="preserve">- Delegirana uredba br. 2015/962 - za prioritetnu mjeru (b) pružanje usluga prometnih informacija u cijeloj Europskoj uniji u realnom vremenu,   </w:t>
      </w:r>
    </w:p>
    <w:p w:rsidR="002E3202" w:rsidRDefault="00391FE7">
      <w:r>
        <w:t xml:space="preserve">- Delegirana uredba br. 885/2013 - za prioritetnu mjeru (e) pružanje usluga informiranja o sigurnim i zaštićenim parkirališnim mjestima za teretna i gospodarska vozila </w:t>
      </w:r>
    </w:p>
    <w:p w:rsidR="002E3202" w:rsidRDefault="00391FE7">
      <w:r>
        <w:t xml:space="preserve">- Delegirana uredba Komisije (EU) 2017/1926 od 31. svibnja 2017. godine o dopuni Direktive 2010/40/EU Europskog parlamenta i Vijeća u pogledu pružanja informacija o multimodalnim putovanjima na razini EU-a (SL L 272, 21.10.2017.)  </w:t>
      </w:r>
    </w:p>
    <w:p w:rsidR="002E3202" w:rsidRDefault="00391FE7">
      <w:r>
        <w:t>- Grant Agreement No: MOVE/B4/SUB/2020-123/SI2.852232</w:t>
      </w:r>
    </w:p>
    <w:tbl>
      <w:tblPr>
        <w:tblStyle w:val="StilTablice"/>
        <w:tblW w:w="10206" w:type="dxa"/>
        <w:jc w:val="center"/>
        <w:tblLook w:val="04A0" w:firstRow="1" w:lastRow="0" w:firstColumn="1" w:lastColumn="0" w:noHBand="0" w:noVBand="1"/>
      </w:tblPr>
      <w:tblGrid>
        <w:gridCol w:w="1477"/>
        <w:gridCol w:w="1566"/>
        <w:gridCol w:w="1559"/>
        <w:gridCol w:w="1550"/>
        <w:gridCol w:w="1542"/>
        <w:gridCol w:w="1542"/>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T819077</w:t>
            </w:r>
          </w:p>
        </w:tc>
        <w:tc>
          <w:tcPr>
            <w:tcW w:w="1632" w:type="dxa"/>
            <w:vAlign w:val="top"/>
          </w:tcPr>
          <w:p w:rsidR="002E3202" w:rsidRDefault="00391FE7">
            <w:pPr>
              <w:jc w:val="right"/>
            </w:pPr>
            <w:r>
              <w:t>7.288</w:t>
            </w:r>
          </w:p>
        </w:tc>
        <w:tc>
          <w:tcPr>
            <w:tcW w:w="1632" w:type="dxa"/>
            <w:vAlign w:val="top"/>
          </w:tcPr>
          <w:p w:rsidR="002E3202" w:rsidRDefault="00391FE7">
            <w:pPr>
              <w:jc w:val="right"/>
            </w:pPr>
            <w:r>
              <w:t>267.069</w:t>
            </w:r>
          </w:p>
        </w:tc>
        <w:tc>
          <w:tcPr>
            <w:tcW w:w="1632" w:type="dxa"/>
            <w:vAlign w:val="top"/>
          </w:tcPr>
          <w:p w:rsidR="002E3202" w:rsidRDefault="00391FE7">
            <w:pPr>
              <w:jc w:val="right"/>
            </w:pPr>
            <w:r>
              <w:t>71.512</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26,8</w:t>
            </w:r>
          </w:p>
        </w:tc>
      </w:tr>
    </w:tbl>
    <w:p w:rsidR="002E3202" w:rsidRDefault="002E3202">
      <w:pPr>
        <w:jc w:val="left"/>
      </w:pPr>
    </w:p>
    <w:p w:rsidR="002E3202" w:rsidRDefault="00391FE7">
      <w:r>
        <w:t xml:space="preserve">Projektom će se omogućiti ostvarenje tehničkih i organizacijskih aktivnosti za unaprjeđenje i koordiniranje Nacionalnih pristupnih točaka uspostavljenih temeljem ITS Direktive 2010/40EU. U projektu osim Hrvatske sudjeluju države članice EU, i to: Konzorcij se sastoji od sljedećih zemalja: Austrija; Belgija; Bugarska; Cipar; Češka; Danska; Estonija; Finska; Francuska;  Grčka; Hrvatska; Irska; Italija;  Latvija; Litva; Luksemburg; Mađarska; Malta; Nizozemska; Norveška; Njemačka; Poljska; Portugal; Rumunjska; Slovačka; Slovenija; Španjolska; Švedska, Švicarska, a pridružene su mu i međunarodne organizacije: UITP (Union Internationale des Transports Publics), ITxPT (Information Technology for Public Transport), ERTICO te Highways England. </w:t>
      </w:r>
    </w:p>
    <w:p w:rsidR="002E3202" w:rsidRDefault="00391FE7">
      <w:r>
        <w:t xml:space="preserve">Ciljevi PSA NAPCORE projekta su: </w:t>
      </w:r>
    </w:p>
    <w:p w:rsidR="002E3202" w:rsidRDefault="00391FE7">
      <w:r>
        <w:t xml:space="preserve">- Uspostavljanje strukture dugoročnog upravljanja kako bi se olakšala nacionalna i europska operativna koordinacija za provedbu europskih specifikacija; </w:t>
      </w:r>
    </w:p>
    <w:p w:rsidR="002E3202" w:rsidRDefault="00391FE7">
      <w:r>
        <w:t xml:space="preserve">- Usklađenje i razvoj NPT-ova kako bi se poboljšala kompatibilnost i interoperabilnost značajki; </w:t>
      </w:r>
    </w:p>
    <w:p w:rsidR="002E3202" w:rsidRDefault="00391FE7">
      <w:r>
        <w:t xml:space="preserve">- Dizajn i razvoj zajedničkih alata koji se odnose na dostupnost i razmjenu podataka; </w:t>
      </w:r>
    </w:p>
    <w:p w:rsidR="002E3202" w:rsidRDefault="00391FE7">
      <w:r>
        <w:t xml:space="preserve">- Planiranje i koordinacija inicijative za prikupljanje podataka; </w:t>
      </w:r>
    </w:p>
    <w:p w:rsidR="002E3202" w:rsidRDefault="00391FE7">
      <w:r>
        <w:t xml:space="preserve">- Usklađenje ocjene usklađenosti. </w:t>
      </w:r>
    </w:p>
    <w:p w:rsidR="002E3202" w:rsidRDefault="00391FE7">
      <w:r>
        <w:t xml:space="preserve">Projekt će se provoditi do 31. prosinca 2024. godine. Ukupni troškovi projekta u 2023. godini su 139.994,00 eura za potrebe provođenja sljedećih aktivnosti projekta:    </w:t>
      </w:r>
    </w:p>
    <w:p w:rsidR="002E3202" w:rsidRDefault="00391FE7">
      <w:r>
        <w:t>1.</w:t>
      </w:r>
      <w:r>
        <w:tab/>
        <w:t xml:space="preserve">Upravljanje projektom </w:t>
      </w:r>
    </w:p>
    <w:p w:rsidR="002E3202" w:rsidRDefault="00391FE7">
      <w:r>
        <w:t>2.</w:t>
      </w:r>
      <w:r>
        <w:tab/>
        <w:t xml:space="preserve">Horizontalne aktivnosti: Podrška Upravnom odboru, Identifikacija potrebnih aktivnosti, Diseminacija, terenske aktivnosti, treninzi </w:t>
      </w:r>
    </w:p>
    <w:p w:rsidR="002E3202" w:rsidRDefault="00391FE7">
      <w:r>
        <w:t>3.</w:t>
      </w:r>
      <w:r>
        <w:tab/>
        <w:t>Radne skupine: Strategija i upravljanje NPT platformom, Interoperabilnost i razina usluge NPT-a, Sadržaj i dostupnost NPT, Standardi razmjene podataka u NPT (DATEX II, TN_ITS, Podaci o multimodalnim putovanjima, Metapodaci)</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izvršenih aktivnosti projekta koje će biti razrađene Nacrtom Grant Argumenta</w:t>
            </w:r>
          </w:p>
        </w:tc>
        <w:tc>
          <w:tcPr>
            <w:tcW w:w="2245" w:type="dxa"/>
            <w:vAlign w:val="top"/>
          </w:tcPr>
          <w:p w:rsidR="002E3202" w:rsidRDefault="00391FE7">
            <w:pPr>
              <w:pStyle w:val="CellColumn"/>
              <w:jc w:val="left"/>
            </w:pPr>
            <w:r>
              <w:rPr>
                <w:rFonts w:cs="Times New Roman"/>
              </w:rPr>
              <w:t>Izvršenje 3 aktivnosti definiranih Grant ugovorom omogućit će ostvarenje tehničkih i organizacijskih aktivnosti za koordinaciju nacionalnih pristupnih točaka za pružanje prometnih informacija na razini EU</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0</w:t>
            </w:r>
          </w:p>
        </w:tc>
        <w:tc>
          <w:tcPr>
            <w:tcW w:w="918" w:type="dxa"/>
          </w:tcPr>
          <w:p w:rsidR="002E3202" w:rsidRDefault="00391FE7">
            <w:pPr>
              <w:jc w:val="center"/>
            </w:pPr>
            <w:r>
              <w:t>3</w:t>
            </w:r>
          </w:p>
        </w:tc>
        <w:tc>
          <w:tcPr>
            <w:tcW w:w="918" w:type="dxa"/>
          </w:tcPr>
          <w:p w:rsidR="002E3202" w:rsidRDefault="00391FE7">
            <w:pPr>
              <w:jc w:val="center"/>
            </w:pPr>
            <w:r>
              <w:t>-</w:t>
            </w:r>
          </w:p>
        </w:tc>
      </w:tr>
    </w:tbl>
    <w:p w:rsidR="002E3202" w:rsidRDefault="002E3202">
      <w:pPr>
        <w:jc w:val="left"/>
      </w:pPr>
    </w:p>
    <w:p w:rsidR="002E3202" w:rsidRDefault="00391FE7">
      <w:pPr>
        <w:pStyle w:val="Heading4"/>
      </w:pPr>
      <w:r>
        <w:t>T821083 CEF X4ITS PROJEKT - SREDNJOEUROPSKA PREKOGRANIČNA SURADNJA ZA INTELIGENTNE TRANSPORTNE SUSTAVE (ITS)</w:t>
      </w:r>
    </w:p>
    <w:p w:rsidR="002E3202" w:rsidRDefault="00391FE7">
      <w:pPr>
        <w:pStyle w:val="Heading8"/>
        <w:jc w:val="left"/>
      </w:pPr>
      <w:r>
        <w:t>Zakonske i druge pravne osnove</w:t>
      </w:r>
    </w:p>
    <w:p w:rsidR="002E3202" w:rsidRDefault="00391FE7">
      <w:r>
        <w:t xml:space="preserve">- Zakon o cestama   </w:t>
      </w:r>
    </w:p>
    <w:p w:rsidR="002E3202" w:rsidRDefault="00391FE7">
      <w:r>
        <w:t xml:space="preserve">- Direktiva 2010/40/EU Europskog parlamenta i Vijeća od 7. srpnja 2010. godine o okviru za uvođenje inteligentnih prometnih sustava u cestovnom prometu i za veze s ostalim vrstama prijevoza  </w:t>
      </w:r>
    </w:p>
    <w:p w:rsidR="002E3202" w:rsidRDefault="00391FE7">
      <w:r>
        <w:t xml:space="preserve">- Delegirana uredba Komisije (EU) 2017/1926 od 31. svibnja 2017. godine o dopuni Direktive 2010/40/EU Europskog parlamenta i Vijeća u pogledu pružanja informacija o multimodalnim putovanjima na razini EU-a (SL L 272, 21.10.2017.)  </w:t>
      </w:r>
    </w:p>
    <w:p w:rsidR="002E3202" w:rsidRDefault="00391FE7">
      <w:r>
        <w:t>- Grant Agreement: Project 101122492 — 22-EU-TG-X4ITS</w:t>
      </w:r>
    </w:p>
    <w:tbl>
      <w:tblPr>
        <w:tblStyle w:val="StilTablice"/>
        <w:tblW w:w="10206" w:type="dxa"/>
        <w:jc w:val="center"/>
        <w:tblLook w:val="04A0" w:firstRow="1" w:lastRow="0" w:firstColumn="1" w:lastColumn="0" w:noHBand="0" w:noVBand="1"/>
      </w:tblPr>
      <w:tblGrid>
        <w:gridCol w:w="1478"/>
        <w:gridCol w:w="1566"/>
        <w:gridCol w:w="1542"/>
        <w:gridCol w:w="1550"/>
        <w:gridCol w:w="1550"/>
        <w:gridCol w:w="155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T821083</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1632" w:type="dxa"/>
            <w:vAlign w:val="top"/>
          </w:tcPr>
          <w:p w:rsidR="002E3202" w:rsidRDefault="00391FE7">
            <w:pPr>
              <w:jc w:val="right"/>
            </w:pPr>
            <w:r>
              <w:t>62.563</w:t>
            </w:r>
          </w:p>
        </w:tc>
        <w:tc>
          <w:tcPr>
            <w:tcW w:w="1632" w:type="dxa"/>
            <w:vAlign w:val="top"/>
          </w:tcPr>
          <w:p w:rsidR="002E3202" w:rsidRDefault="00391FE7">
            <w:pPr>
              <w:jc w:val="right"/>
            </w:pPr>
            <w:r>
              <w:t>62.563</w:t>
            </w:r>
          </w:p>
        </w:tc>
        <w:tc>
          <w:tcPr>
            <w:tcW w:w="1632" w:type="dxa"/>
            <w:vAlign w:val="top"/>
          </w:tcPr>
          <w:p w:rsidR="002E3202" w:rsidRDefault="00391FE7">
            <w:pPr>
              <w:jc w:val="right"/>
            </w:pPr>
            <w:r>
              <w:t>62.563</w:t>
            </w:r>
          </w:p>
        </w:tc>
        <w:tc>
          <w:tcPr>
            <w:tcW w:w="510" w:type="dxa"/>
            <w:vAlign w:val="top"/>
          </w:tcPr>
          <w:p w:rsidR="002E3202" w:rsidRDefault="00391FE7">
            <w:pPr>
              <w:jc w:val="right"/>
            </w:pPr>
            <w:r>
              <w:t>0,0</w:t>
            </w:r>
          </w:p>
        </w:tc>
      </w:tr>
    </w:tbl>
    <w:p w:rsidR="002E3202" w:rsidRDefault="002E3202">
      <w:pPr>
        <w:jc w:val="left"/>
      </w:pPr>
    </w:p>
    <w:p w:rsidR="002E3202" w:rsidRDefault="00391FE7">
      <w:r>
        <w:t xml:space="preserve">Ministarstvo mora, prometa i infrastrukture, na otvoreni poziv CEF-T-2022-SIMOBGEN, sudjeluje u podnošenju prijave za projekt „Central European cross-border cooperation for ITS – X4ITS“ pod temom „CEF-T-2022-SIMOBGEN-ITS-WORKS: ITS – studies, works or mixed”. </w:t>
      </w:r>
    </w:p>
    <w:p w:rsidR="002E3202" w:rsidRDefault="00391FE7">
      <w:r>
        <w:t xml:space="preserve">Republika Hrvatska navedeni ITS (Inteligent Transport System) projekt, sufinanciran kroz CEF fond u iznosu od 50%, prijavljuje zajedno s Austrijom (koordinator), Češkom, Mađarskom, Slovenijom i Rumunjskom, a zajedničku prijavu pripremala je austrijska agencija AustriaTech, čija je kontakt osoba Kalojan Daskalow. Razdoblje trajanja projekta predviđeno je od 1. ožujka 2023. do 28. veljače 2027. godine. </w:t>
      </w:r>
    </w:p>
    <w:p w:rsidR="002E3202" w:rsidRDefault="00391FE7">
      <w:r>
        <w:t xml:space="preserve">Ministarstvo mora, prometa i infrastrukture u projektu će sudjelovati kao korisnik, a Hrvatske autoceste d.o.o., Autocesta Zagreb - Macelj d.o.o., Bina - Istra d.d. i Hrvatske ceste d.o.o. kao povezani subjekti. Svaki sudionik projekta (povezani subjekt) osigurava nacionalnu komponentu u projektu. </w:t>
      </w:r>
    </w:p>
    <w:p w:rsidR="002E3202" w:rsidRDefault="00391FE7">
      <w:r>
        <w:t>Predmetni projekt X4ITS predstavlja nastavak već uspješno provedenih projekata Crocodile 2 (uvođenje DATEX II protokola) i Crocodile 3 (proširenje DATEX II protokola), sve sukladno Direktivi 2010/40/EU iz područja ITS-a. Navedenim projektom će se instalirati ITS oprema u zgradama za upravljanje prometom (primjerice zamjena hardverske opreme za prikupljanje podataka iz sustava za kontrolu prometa radi dostave pouzdanih podataka u Nacionalnu pristupnu točku) te ITS oprema na autocestama i državnim cestama (primjerice zamjena analognih kamera s IP kamerama današnje generacije, odnosno digitalizacija video sustava autoceste (CCTV) kojim će se sudionicima u prometu osigurati pružanje informacija u stvarnom vremenu, kako bi se korisnicima autocesta pojednostavnio izbor rute putovanja i smanjio utjecaj zagušenja u prometu na njegove sudionike, a čime bi se povećala i sigurnost prometa; ugradnja dodatnih meteo stanica u svrhu poboljšanja sigurnosti prometa i informiranja sudionika; ugradnja info-displeja na cestama te u tunelima u svrhu unaprjeđenja upravljanja prometom u slučaju prometne nezgode, odnosno provedbe planova upravljanja prometom).</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izvršenih aktivnosti projekta koje će biti razrađene Nacrtom Grant Argeementa</w:t>
            </w:r>
          </w:p>
        </w:tc>
        <w:tc>
          <w:tcPr>
            <w:tcW w:w="2245" w:type="dxa"/>
            <w:vAlign w:val="top"/>
          </w:tcPr>
          <w:p w:rsidR="002E3202" w:rsidRDefault="00391FE7">
            <w:pPr>
              <w:pStyle w:val="CellColumn"/>
              <w:jc w:val="left"/>
            </w:pPr>
            <w:r>
              <w:rPr>
                <w:rFonts w:cs="Times New Roman"/>
              </w:rPr>
              <w:t>Izvršenje 6 aktivnosti definiranih Grant ugovorom omogućit će poboljšanje prekograničnog prometa provedbom usklađenih i sinkroniziranih ITS aplikacija na cestovnoj mreži.</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0</w:t>
            </w:r>
          </w:p>
        </w:tc>
        <w:tc>
          <w:tcPr>
            <w:tcW w:w="918" w:type="dxa"/>
          </w:tcPr>
          <w:p w:rsidR="002E3202" w:rsidRDefault="00391FE7">
            <w:pPr>
              <w:jc w:val="center"/>
            </w:pPr>
            <w:r>
              <w:t>0</w:t>
            </w:r>
          </w:p>
        </w:tc>
        <w:tc>
          <w:tcPr>
            <w:tcW w:w="918" w:type="dxa"/>
          </w:tcPr>
          <w:p w:rsidR="002E3202" w:rsidRDefault="00391FE7">
            <w:pPr>
              <w:jc w:val="center"/>
            </w:pPr>
            <w:r>
              <w:t>6</w:t>
            </w:r>
          </w:p>
        </w:tc>
      </w:tr>
    </w:tbl>
    <w:p w:rsidR="002E3202" w:rsidRDefault="002E3202">
      <w:pPr>
        <w:jc w:val="left"/>
      </w:pPr>
    </w:p>
    <w:p w:rsidR="002E3202" w:rsidRDefault="00391FE7">
      <w:pPr>
        <w:pStyle w:val="Heading3"/>
      </w:pPr>
      <w:r>
        <w:rPr>
          <w:rFonts w:cs="Times New Roman"/>
        </w:rPr>
        <w:t>3111 PRIPREMA I PROVEDBA PROJEKATA SUFINANCIRANIH SREDSTVIMA FONDOVA EU</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3111</w:t>
            </w:r>
          </w:p>
        </w:tc>
        <w:tc>
          <w:tcPr>
            <w:tcW w:w="1632" w:type="dxa"/>
          </w:tcPr>
          <w:p w:rsidR="002E3202" w:rsidRDefault="00391FE7">
            <w:pPr>
              <w:jc w:val="right"/>
            </w:pPr>
            <w:r>
              <w:t>337.631.082</w:t>
            </w:r>
          </w:p>
        </w:tc>
        <w:tc>
          <w:tcPr>
            <w:tcW w:w="1632" w:type="dxa"/>
          </w:tcPr>
          <w:p w:rsidR="002E3202" w:rsidRDefault="00391FE7">
            <w:pPr>
              <w:jc w:val="right"/>
            </w:pPr>
            <w:r>
              <w:t>470.227.210</w:t>
            </w:r>
          </w:p>
        </w:tc>
        <w:tc>
          <w:tcPr>
            <w:tcW w:w="1632" w:type="dxa"/>
          </w:tcPr>
          <w:p w:rsidR="002E3202" w:rsidRDefault="00391FE7">
            <w:pPr>
              <w:jc w:val="right"/>
            </w:pPr>
            <w:r>
              <w:t>303.084.262</w:t>
            </w:r>
          </w:p>
        </w:tc>
        <w:tc>
          <w:tcPr>
            <w:tcW w:w="1632" w:type="dxa"/>
          </w:tcPr>
          <w:p w:rsidR="002E3202" w:rsidRDefault="00391FE7">
            <w:pPr>
              <w:jc w:val="right"/>
            </w:pPr>
            <w:r>
              <w:t>496.018.472</w:t>
            </w:r>
          </w:p>
        </w:tc>
        <w:tc>
          <w:tcPr>
            <w:tcW w:w="1632" w:type="dxa"/>
          </w:tcPr>
          <w:p w:rsidR="002E3202" w:rsidRDefault="00391FE7">
            <w:pPr>
              <w:jc w:val="right"/>
            </w:pPr>
            <w:r>
              <w:t>436.946.276</w:t>
            </w:r>
          </w:p>
        </w:tc>
        <w:tc>
          <w:tcPr>
            <w:tcW w:w="510" w:type="dxa"/>
          </w:tcPr>
          <w:p w:rsidR="002E3202" w:rsidRDefault="00391FE7">
            <w:pPr>
              <w:jc w:val="right"/>
            </w:pPr>
            <w:r>
              <w:t>64,5</w:t>
            </w:r>
          </w:p>
        </w:tc>
      </w:tr>
    </w:tbl>
    <w:p w:rsidR="002E3202" w:rsidRDefault="002E3202">
      <w:pPr>
        <w:jc w:val="left"/>
      </w:pPr>
    </w:p>
    <w:p w:rsidR="002E3202" w:rsidRDefault="00391FE7">
      <w:pPr>
        <w:pStyle w:val="Heading8"/>
        <w:jc w:val="left"/>
      </w:pPr>
      <w:r>
        <w:t>Cilj 1. Uspješna priprema i praćenje provedbe projekata sufinanciranih sredstvima fondova EU</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89"/>
        <w:gridCol w:w="2288"/>
        <w:gridCol w:w="935"/>
        <w:gridCol w:w="935"/>
        <w:gridCol w:w="954"/>
        <w:gridCol w:w="935"/>
        <w:gridCol w:w="935"/>
        <w:gridCol w:w="935"/>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ugovorenih projekata u odnosu na planiran broj projekata za ugovaranje</w:t>
            </w:r>
          </w:p>
        </w:tc>
        <w:tc>
          <w:tcPr>
            <w:tcW w:w="2245" w:type="dxa"/>
            <w:vAlign w:val="top"/>
          </w:tcPr>
          <w:p w:rsidR="002E3202" w:rsidRDefault="00391FE7">
            <w:pPr>
              <w:pStyle w:val="CellColumn"/>
              <w:jc w:val="left"/>
            </w:pPr>
            <w:r>
              <w:rPr>
                <w:rFonts w:cs="Times New Roman"/>
              </w:rPr>
              <w:t>Ovim pokazateljem će se mjeriti učinkovitost realizacije pripreme projekata sufinanciranih sredstvima fondova EU</w:t>
            </w:r>
          </w:p>
        </w:tc>
        <w:tc>
          <w:tcPr>
            <w:tcW w:w="918" w:type="dxa"/>
          </w:tcPr>
          <w:p w:rsidR="002E3202" w:rsidRDefault="00391FE7">
            <w:pPr>
              <w:jc w:val="center"/>
            </w:pPr>
            <w:r>
              <w:t>%</w:t>
            </w:r>
          </w:p>
        </w:tc>
        <w:tc>
          <w:tcPr>
            <w:tcW w:w="918" w:type="dxa"/>
          </w:tcPr>
          <w:p w:rsidR="002E3202" w:rsidRDefault="00391FE7">
            <w:pPr>
              <w:jc w:val="center"/>
            </w:pPr>
            <w:r>
              <w:t>80</w:t>
            </w:r>
          </w:p>
        </w:tc>
        <w:tc>
          <w:tcPr>
            <w:tcW w:w="918" w:type="dxa"/>
          </w:tcPr>
          <w:p w:rsidR="002E3202" w:rsidRDefault="00391FE7">
            <w:pPr>
              <w:pStyle w:val="CellColumn"/>
              <w:jc w:val="center"/>
            </w:pPr>
            <w:r>
              <w:rPr>
                <w:rFonts w:cs="Times New Roman"/>
              </w:rPr>
              <w:t>Interna evidencija MMPI</w:t>
            </w:r>
          </w:p>
        </w:tc>
        <w:tc>
          <w:tcPr>
            <w:tcW w:w="918" w:type="dxa"/>
          </w:tcPr>
          <w:p w:rsidR="002E3202" w:rsidRDefault="00391FE7">
            <w:pPr>
              <w:jc w:val="center"/>
            </w:pPr>
            <w:r>
              <w:t>88</w:t>
            </w:r>
          </w:p>
        </w:tc>
        <w:tc>
          <w:tcPr>
            <w:tcW w:w="918" w:type="dxa"/>
          </w:tcPr>
          <w:p w:rsidR="002E3202" w:rsidRDefault="00391FE7">
            <w:pPr>
              <w:jc w:val="center"/>
            </w:pPr>
            <w:r>
              <w:t>94</w:t>
            </w:r>
          </w:p>
        </w:tc>
        <w:tc>
          <w:tcPr>
            <w:tcW w:w="918" w:type="dxa"/>
          </w:tcPr>
          <w:p w:rsidR="002E3202" w:rsidRDefault="00391FE7">
            <w:pPr>
              <w:jc w:val="center"/>
            </w:pPr>
            <w:r>
              <w:t>98</w:t>
            </w:r>
          </w:p>
        </w:tc>
      </w:tr>
    </w:tbl>
    <w:p w:rsidR="002E3202" w:rsidRDefault="002E3202">
      <w:pPr>
        <w:jc w:val="left"/>
      </w:pPr>
    </w:p>
    <w:p w:rsidR="002E3202" w:rsidRDefault="00391FE7">
      <w:pPr>
        <w:pStyle w:val="Heading4"/>
      </w:pPr>
      <w:r>
        <w:t>A754081 POVRAT NEPRIHVATLJIVIH TROŠKOVA FINANCIRANIH IZ EU SREDSTAVA</w:t>
      </w:r>
    </w:p>
    <w:p w:rsidR="002E3202" w:rsidRDefault="00391FE7">
      <w:pPr>
        <w:pStyle w:val="Heading8"/>
        <w:jc w:val="left"/>
      </w:pPr>
      <w:r>
        <w:t>Zakonske i druge pravne osnove</w:t>
      </w:r>
    </w:p>
    <w:p w:rsidR="002E3202" w:rsidRDefault="00391FE7">
      <w:r>
        <w:t>Zakon o proračunu</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A754081</w:t>
            </w:r>
          </w:p>
        </w:tc>
        <w:tc>
          <w:tcPr>
            <w:tcW w:w="1632" w:type="dxa"/>
            <w:vAlign w:val="top"/>
          </w:tcPr>
          <w:p w:rsidR="002E3202" w:rsidRDefault="00391FE7">
            <w:pPr>
              <w:jc w:val="right"/>
            </w:pPr>
            <w:r>
              <w:t>3.302</w:t>
            </w:r>
          </w:p>
        </w:tc>
        <w:tc>
          <w:tcPr>
            <w:tcW w:w="1632" w:type="dxa"/>
            <w:vAlign w:val="top"/>
          </w:tcPr>
          <w:p w:rsidR="002E3202" w:rsidRDefault="00391FE7">
            <w:pPr>
              <w:jc w:val="right"/>
            </w:pPr>
            <w:r>
              <w:t>6.636</w:t>
            </w:r>
          </w:p>
        </w:tc>
        <w:tc>
          <w:tcPr>
            <w:tcW w:w="1632" w:type="dxa"/>
            <w:vAlign w:val="top"/>
          </w:tcPr>
          <w:p w:rsidR="002E3202" w:rsidRDefault="00391FE7">
            <w:pPr>
              <w:jc w:val="right"/>
            </w:pPr>
            <w:r>
              <w:t>9.291</w:t>
            </w:r>
          </w:p>
        </w:tc>
        <w:tc>
          <w:tcPr>
            <w:tcW w:w="1632" w:type="dxa"/>
            <w:vAlign w:val="top"/>
          </w:tcPr>
          <w:p w:rsidR="002E3202" w:rsidRDefault="00391FE7">
            <w:pPr>
              <w:jc w:val="right"/>
            </w:pPr>
            <w:r>
              <w:t>9.291</w:t>
            </w:r>
          </w:p>
        </w:tc>
        <w:tc>
          <w:tcPr>
            <w:tcW w:w="1632" w:type="dxa"/>
            <w:vAlign w:val="top"/>
          </w:tcPr>
          <w:p w:rsidR="002E3202" w:rsidRDefault="00391FE7">
            <w:pPr>
              <w:jc w:val="right"/>
            </w:pPr>
            <w:r>
              <w:t>9.291</w:t>
            </w:r>
          </w:p>
        </w:tc>
        <w:tc>
          <w:tcPr>
            <w:tcW w:w="510" w:type="dxa"/>
            <w:vAlign w:val="top"/>
          </w:tcPr>
          <w:p w:rsidR="002E3202" w:rsidRDefault="00391FE7">
            <w:pPr>
              <w:jc w:val="right"/>
            </w:pPr>
            <w:r>
              <w:t>140,0</w:t>
            </w:r>
          </w:p>
        </w:tc>
      </w:tr>
    </w:tbl>
    <w:p w:rsidR="002E3202" w:rsidRDefault="002E3202">
      <w:pPr>
        <w:jc w:val="left"/>
      </w:pPr>
    </w:p>
    <w:p w:rsidR="002E3202" w:rsidRDefault="00391FE7">
      <w:r>
        <w:t>Sredstva planirana na ovoj aktivnosti namijenjena su za povrat sredstava u proračun Europske unije, u slučaju možebitno neadekvatno utrošenih sredstava u sklopu projekata financiranih iz fondova Europske unije, a koje nadležna tijela Europske unije naknadno utvrde kao neprihvatljiv trošak projekta.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35"/>
        <w:gridCol w:w="954"/>
        <w:gridCol w:w="935"/>
        <w:gridCol w:w="935"/>
        <w:gridCol w:w="935"/>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povrata sredstava u proračun Europske unije</w:t>
            </w:r>
          </w:p>
        </w:tc>
        <w:tc>
          <w:tcPr>
            <w:tcW w:w="2245" w:type="dxa"/>
            <w:vAlign w:val="top"/>
          </w:tcPr>
          <w:p w:rsidR="002E3202" w:rsidRDefault="00391FE7">
            <w:pPr>
              <w:pStyle w:val="CellColumn"/>
              <w:jc w:val="left"/>
            </w:pPr>
            <w:r>
              <w:rPr>
                <w:rFonts w:cs="Times New Roman"/>
              </w:rPr>
              <w:t>Sredstva na ime neprihvatljivih troškova u projektima koji su financirani sredstvima Europske unije, a koja se uplaćuju u proračun Europske unije na temelju zahtjeva za uplatu nadležnih tijela Europske unije</w:t>
            </w:r>
          </w:p>
        </w:tc>
        <w:tc>
          <w:tcPr>
            <w:tcW w:w="918" w:type="dxa"/>
          </w:tcPr>
          <w:p w:rsidR="002E3202" w:rsidRDefault="00391FE7">
            <w:pPr>
              <w:jc w:val="center"/>
            </w:pPr>
            <w:r>
              <w:t>%</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Interna evidencija MMPI</w:t>
            </w:r>
          </w:p>
        </w:tc>
        <w:tc>
          <w:tcPr>
            <w:tcW w:w="918" w:type="dxa"/>
          </w:tcPr>
          <w:p w:rsidR="002E3202" w:rsidRDefault="00391FE7">
            <w:pPr>
              <w:jc w:val="center"/>
            </w:pPr>
            <w:r>
              <w:t>100</w:t>
            </w:r>
          </w:p>
        </w:tc>
        <w:tc>
          <w:tcPr>
            <w:tcW w:w="918" w:type="dxa"/>
          </w:tcPr>
          <w:p w:rsidR="002E3202" w:rsidRDefault="00391FE7">
            <w:pPr>
              <w:jc w:val="center"/>
            </w:pPr>
            <w:r>
              <w:t>100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K810067 CEF 2014.-2020. PRIPREMA FAIRWAY 2 RADOVA NA RAJNA-DUNAV KORIDORU</w:t>
      </w:r>
    </w:p>
    <w:p w:rsidR="002E3202" w:rsidRDefault="00391FE7">
      <w:pPr>
        <w:pStyle w:val="Heading8"/>
        <w:jc w:val="left"/>
      </w:pPr>
      <w:r>
        <w:t>Zakonske i druge pravne osnove</w:t>
      </w:r>
    </w:p>
    <w:p w:rsidR="002E3202" w:rsidRDefault="00391FE7">
      <w:r>
        <w:t xml:space="preserve">- Zakon o uspostavi institucionalnog okvira za provedbu europskih strukturnih i investicijskih fondova u Republici Hrvatskoj u financijskom razdoblju 2014.-2020., članak 4., stavak 2., </w:t>
      </w:r>
    </w:p>
    <w:p w:rsidR="002E3202" w:rsidRDefault="00391FE7">
      <w:r>
        <w:t>- Zakon o plovidbi i  lukama unutarnjih voda, članak 145., stavak 3.</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K810067</w:t>
            </w:r>
          </w:p>
        </w:tc>
        <w:tc>
          <w:tcPr>
            <w:tcW w:w="1632" w:type="dxa"/>
            <w:vAlign w:val="top"/>
          </w:tcPr>
          <w:p w:rsidR="002E3202" w:rsidRDefault="00391FE7">
            <w:pPr>
              <w:jc w:val="right"/>
            </w:pPr>
            <w:r>
              <w:t>29.458</w:t>
            </w:r>
          </w:p>
        </w:tc>
        <w:tc>
          <w:tcPr>
            <w:tcW w:w="1632" w:type="dxa"/>
            <w:vAlign w:val="top"/>
          </w:tcPr>
          <w:p w:rsidR="002E3202" w:rsidRDefault="00391FE7">
            <w:pPr>
              <w:jc w:val="right"/>
            </w:pPr>
            <w:r>
              <w:t>433.071</w:t>
            </w:r>
          </w:p>
        </w:tc>
        <w:tc>
          <w:tcPr>
            <w:tcW w:w="1632" w:type="dxa"/>
            <w:vAlign w:val="top"/>
          </w:tcPr>
          <w:p w:rsidR="002E3202" w:rsidRDefault="00391FE7">
            <w:pPr>
              <w:jc w:val="right"/>
            </w:pPr>
            <w:r>
              <w:t>604.500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139,6</w:t>
            </w:r>
          </w:p>
        </w:tc>
      </w:tr>
    </w:tbl>
    <w:p w:rsidR="002E3202" w:rsidRDefault="002E3202">
      <w:pPr>
        <w:jc w:val="left"/>
      </w:pPr>
    </w:p>
    <w:p w:rsidR="002E3202" w:rsidRDefault="00391FE7">
      <w:r>
        <w:t xml:space="preserve">Provedba projekta je započela u drugoj polovici 2020. godine a završetak projekta je planiran 30.04.2024. godine. Višekorisnički projekt „Priprema FAIRway 2 radova na Rajna - Dunav koridoru“ odobren je za EU sufinanciranje unutar CEF 2014. – 2020. poziva u području prometa službene oznake 2019-HR-TMC-0263-S. Projektom se planira vršiti praćenje parametara relevantnih za održavanje plovnog puta te inventarizacija sastavnica bioraznolikosti na kritičnim dionicama rijeke Dunav, a sve u svrhu osiguranja temelja za zajedničku strategiju i usklađene aktivnosti Hrvatske i Srbije radi održavanja Dunava, kao važnog međunarodnog plovnog puta na način koji neće ugrožavati preostale ekosustave i njihovu bioraznolikost. Projektom se planira i daljnji razvoj WAMOS sustava, povezivanje ključnih dionika te analiziranje privezišta na Dunavu i plovnim pritokama Dunava. Projekt je započeo 1. 7. 2020., a završetak se planira do 30. 4. 2024. godine. </w:t>
      </w:r>
    </w:p>
    <w:p w:rsidR="002E3202" w:rsidRDefault="00391FE7">
      <w:r>
        <w:t xml:space="preserve">Za aktivnosti monitoringa hidroloških, hidrauličkih i morfoloških karakteristika rijeke Dunav te inventarizacija sastavnica bioraznolikosti na zajedničkom hrvatsko-srpskom sektoru rijeke Dunav potpisan je ugovor u siječnju 2023. godine. </w:t>
      </w:r>
    </w:p>
    <w:p w:rsidR="002E3202" w:rsidRDefault="00391FE7">
      <w:r>
        <w:t>Financijska sredstva iz Proračuna RH za 2024. godine su predviđena za podmirenje troškove plaća djelatnika koji rade na projektu (u iznosu od 52.600 eura), za praćenje parametara relevantnih za održavanje plovnog puta te inventarizaciju sastavnica bioraznolikosti na kritičnim dionicama rijeke Dunav (predviđeno je 510.000 eura) i službena putovanja i ostale materijalne rashode predviđene projektom (u iznosu od 41.900 eura).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Stupanj dovršenosti praćenja parametara relevantnih za održavanje plovnog puta te sastavnica bioraznolikosti</w:t>
            </w:r>
          </w:p>
        </w:tc>
        <w:tc>
          <w:tcPr>
            <w:tcW w:w="2245" w:type="dxa"/>
            <w:vAlign w:val="top"/>
          </w:tcPr>
          <w:p w:rsidR="002E3202" w:rsidRDefault="00391FE7">
            <w:pPr>
              <w:pStyle w:val="CellColumn"/>
              <w:jc w:val="left"/>
            </w:pPr>
            <w:r>
              <w:rPr>
                <w:rFonts w:cs="Times New Roman"/>
              </w:rPr>
              <w:t>Praćenje parametara relevantnih za održavanje plovnog puta te sastavnica bioraznolikosti kojim će se postići osiguranje temelja za zajedničku strategiju i usklađenje aktivnosti između Republike Hrvatske i Republike Srbije</w:t>
            </w:r>
          </w:p>
        </w:tc>
        <w:tc>
          <w:tcPr>
            <w:tcW w:w="918" w:type="dxa"/>
          </w:tcPr>
          <w:p w:rsidR="002E3202" w:rsidRDefault="00391FE7">
            <w:pPr>
              <w:jc w:val="center"/>
            </w:pPr>
            <w:r>
              <w:t>%</w:t>
            </w:r>
          </w:p>
        </w:tc>
        <w:tc>
          <w:tcPr>
            <w:tcW w:w="918" w:type="dxa"/>
          </w:tcPr>
          <w:p w:rsidR="002E3202" w:rsidRDefault="00391FE7">
            <w:pPr>
              <w:jc w:val="center"/>
            </w:pPr>
            <w:r>
              <w:t>80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391FE7">
            <w:pPr>
              <w:jc w:val="center"/>
            </w:pPr>
            <w:r>
              <w:t>0</w:t>
            </w:r>
          </w:p>
        </w:tc>
        <w:tc>
          <w:tcPr>
            <w:tcW w:w="918" w:type="dxa"/>
          </w:tcPr>
          <w:p w:rsidR="002E3202" w:rsidRDefault="00391FE7">
            <w:pPr>
              <w:jc w:val="center"/>
            </w:pPr>
            <w:r>
              <w:t>0</w:t>
            </w:r>
          </w:p>
        </w:tc>
      </w:tr>
    </w:tbl>
    <w:p w:rsidR="002E3202" w:rsidRDefault="002E3202">
      <w:pPr>
        <w:jc w:val="left"/>
      </w:pPr>
    </w:p>
    <w:p w:rsidR="002E3202" w:rsidRDefault="00391FE7">
      <w:pPr>
        <w:pStyle w:val="Heading4"/>
      </w:pPr>
      <w:r>
        <w:t>T754039 OP KONKURENTNOST I KOHEZIJA, PRIORITETNA OS 7. POVEZANOST I MOBILNOST</w:t>
      </w:r>
    </w:p>
    <w:p w:rsidR="002E3202" w:rsidRDefault="00391FE7">
      <w:pPr>
        <w:pStyle w:val="Heading8"/>
        <w:jc w:val="left"/>
      </w:pPr>
      <w:r>
        <w:t>Zakonske i druge pravne osnove</w:t>
      </w:r>
    </w:p>
    <w:p w:rsidR="002E3202" w:rsidRDefault="00391FE7">
      <w:r>
        <w:t xml:space="preserve">- Bijela knjiga: Plan puta u jedinstveni europski prometni prostor (ECE 2011) </w:t>
      </w:r>
    </w:p>
    <w:p w:rsidR="002E3202" w:rsidRDefault="00391FE7">
      <w:r>
        <w:t xml:space="preserve">- Strategija prometnog razvoja Republike Hrvatske za razdoblje od 2017. do 2030. godine  </w:t>
      </w:r>
    </w:p>
    <w:p w:rsidR="002E3202" w:rsidRDefault="00391FE7">
      <w:r>
        <w:t xml:space="preserve">- Sporazum o partnerstvu između RH i EK za korištenje EU strukturnih i investicijskih fondova za rast i radna mjesta u razdoblju 2014.-2020. </w:t>
      </w:r>
    </w:p>
    <w:p w:rsidR="002E3202" w:rsidRDefault="00391FE7">
      <w:r>
        <w:t xml:space="preserve">- Operativni program „Konkurentnost i kohezija 2014.-2020.“, izmjena odobrena od strane EK 16. prosinca 2022. godine (dalje: OPKK) </w:t>
      </w:r>
    </w:p>
    <w:p w:rsidR="002E3202" w:rsidRDefault="00391FE7">
      <w:r>
        <w:t xml:space="preserve">- Zakon o uspostavi institucionalnog okvira za provedbu ESI fondova u RH u financijskom razdoblju 2014.-2020. </w:t>
      </w:r>
    </w:p>
    <w:p w:rsidR="002E3202" w:rsidRDefault="00391FE7">
      <w:r>
        <w:t>- Uredba o tijelima u sustavima upravljanja i kontrole korištenja ESF, EFRR i KF, u vezi s ciljem „Ulaganje za rast i radna mjesta“ (dalje: Uredba)</w:t>
      </w:r>
    </w:p>
    <w:tbl>
      <w:tblPr>
        <w:tblStyle w:val="StilTablice"/>
        <w:tblW w:w="10206" w:type="dxa"/>
        <w:jc w:val="center"/>
        <w:tblLook w:val="04A0" w:firstRow="1" w:lastRow="0" w:firstColumn="1" w:lastColumn="0" w:noHBand="0" w:noVBand="1"/>
      </w:tblPr>
      <w:tblGrid>
        <w:gridCol w:w="1466"/>
        <w:gridCol w:w="1579"/>
        <w:gridCol w:w="1579"/>
        <w:gridCol w:w="1568"/>
        <w:gridCol w:w="1522"/>
        <w:gridCol w:w="1522"/>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T754039</w:t>
            </w:r>
          </w:p>
        </w:tc>
        <w:tc>
          <w:tcPr>
            <w:tcW w:w="1632" w:type="dxa"/>
            <w:vAlign w:val="top"/>
          </w:tcPr>
          <w:p w:rsidR="002E3202" w:rsidRDefault="00391FE7">
            <w:pPr>
              <w:jc w:val="right"/>
            </w:pPr>
            <w:r>
              <w:t>270.136.870</w:t>
            </w:r>
          </w:p>
        </w:tc>
        <w:tc>
          <w:tcPr>
            <w:tcW w:w="1632" w:type="dxa"/>
            <w:vAlign w:val="top"/>
          </w:tcPr>
          <w:p w:rsidR="002E3202" w:rsidRDefault="00391FE7">
            <w:pPr>
              <w:jc w:val="right"/>
            </w:pPr>
            <w:r>
              <w:t>221.186.588</w:t>
            </w:r>
          </w:p>
        </w:tc>
        <w:tc>
          <w:tcPr>
            <w:tcW w:w="1632" w:type="dxa"/>
            <w:vAlign w:val="top"/>
          </w:tcPr>
          <w:p w:rsidR="002E3202" w:rsidRDefault="00391FE7">
            <w:pPr>
              <w:jc w:val="right"/>
            </w:pPr>
            <w:r>
              <w:t>66.376.020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30,0</w:t>
            </w:r>
          </w:p>
        </w:tc>
      </w:tr>
    </w:tbl>
    <w:p w:rsidR="002E3202" w:rsidRDefault="002E3202">
      <w:pPr>
        <w:jc w:val="left"/>
      </w:pPr>
    </w:p>
    <w:p w:rsidR="002E3202" w:rsidRDefault="00391FE7">
      <w:r>
        <w:t xml:space="preserve">Tekući projekt T754039 OP Konkurentnost i kohezija, prioritetna os 7. Povezanost i mobilnost (dalje: T754039) ima za cilj ulaganje u prometnu infrastrukturu potrebnu za suvremenu, konkurentnu i međusobno povezanu europsku ekonomiju, čime se pridonosi olakšavanju kretanja robe i ljudi, ne samo unutar Hrvatske već i prema ostalim dijelovima Europe te poboljšanju dostupnosti gradova i izoliranih područja funkcionalnim regionalnim centrima i jačanju teritorijalne kohezije.   </w:t>
      </w:r>
    </w:p>
    <w:p w:rsidR="002E3202" w:rsidRDefault="00391FE7">
      <w:r>
        <w:t xml:space="preserve">Sukladno odredbama Uredbe, Ministarstvo mora, prometa i infrastrukture djeluje u svojstvu Posredničkog tijela razine 1 za prioritetnu os 7. (dalje: PO 7), dok u svojstvu Posredničkog tijela razine 2 djeluje Središnja agencija za financiranje i ugovaranje programa i projekata Europske unije. </w:t>
      </w:r>
    </w:p>
    <w:p w:rsidR="002E3202" w:rsidRDefault="00391FE7">
      <w:r>
        <w:t xml:space="preserve">U okviru PO 7 potpisano je 96 ugovora ukupne vrijednosti bespovratnih sredstava 2.029.846.437 eura. Od ukupnog broja potpisanih ugovora, 44 ugovora se provodi, 41 je završen i 11 ugovora je raskinuto.  </w:t>
      </w:r>
    </w:p>
    <w:p w:rsidR="002E3202" w:rsidRDefault="00391FE7">
      <w:r>
        <w:t xml:space="preserve">Ukupna alokacija EU sredstava dodijeljena za PO 7 iznosi 1.230.375.841 eura. Korisnicima je od početka provedbe OPKK do sada isplaćeno 1,006 miljardi eura EU sredstava, što predstavlja 81% alokacije.  </w:t>
      </w:r>
    </w:p>
    <w:p w:rsidR="002E3202" w:rsidRDefault="00391FE7">
      <w:r>
        <w:t xml:space="preserve">Ugovoreno razdoblje prihvatljivosti troškova je do kraja 2023., a 2024. je zadnja godina financiranja iz OPKK. Sa planiranim iznosom od 66,3 milijuna eura planiraju se izvršiti završna plaćanja za projekte koji će završiti. Preostali ugovoreni projekti, koji neće završiti, planiraju se provoditi kroz novo programsko razdoblje 2021.-2027. odnosno završiti nacionalno.  </w:t>
      </w:r>
    </w:p>
    <w:p w:rsidR="002E3202" w:rsidRDefault="00391FE7">
      <w:r>
        <w:t>Od 44 ugovora u provedbi, financijski značajniji projekti koji će se završiti u programskom razdoblju su Cestovna povezanost s Južnom Dalmacijom, Nadogradnja i elektrifikacija postojeće željezničke pruge od značaja za međunarodni promet M601 Vinkovci Vukovar, Projekt izgradnje državne ceste DC403 od čvora Škurinje do luke Rijeka, Izgradnja nadvožnjaka Duga ulica-Borinačka ulica i prilazne prometnice u gradu Vinkovcima, Rekonstrukcija i proširenje Lapadske obale, II., III. i IV. faza izgradnje, dok se određeni projekti pripremaju za faziranje i financiranje iz novog programskog razdoblja 2021.-2027. poput projekta rekonstrukcije i dogradnje željezničke dionice Hrvatski Leskovac-Karlovac, Nova luka Korčula - luka Polačište i Projekt osiguranja i modernizacije željezničko-cestovnih prijelaza.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35"/>
        <w:gridCol w:w="954"/>
        <w:gridCol w:w="935"/>
        <w:gridCol w:w="935"/>
        <w:gridCol w:w="935"/>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izvršenih isplata korisniku prije krajnjeg roka za plaćanje</w:t>
            </w:r>
          </w:p>
        </w:tc>
        <w:tc>
          <w:tcPr>
            <w:tcW w:w="2245" w:type="dxa"/>
            <w:vAlign w:val="top"/>
          </w:tcPr>
          <w:p w:rsidR="002E3202" w:rsidRDefault="00391FE7">
            <w:pPr>
              <w:pStyle w:val="CellColumn"/>
              <w:jc w:val="left"/>
            </w:pPr>
            <w:r>
              <w:rPr>
                <w:rFonts w:cs="Times New Roman"/>
              </w:rPr>
              <w:t>Udio izvršenih isplata korisniku prije krajnjeg roka za plaćanje u ukupnom broju izvršenih isplata</w:t>
            </w:r>
          </w:p>
        </w:tc>
        <w:tc>
          <w:tcPr>
            <w:tcW w:w="918" w:type="dxa"/>
          </w:tcPr>
          <w:p w:rsidR="002E3202" w:rsidRDefault="00391FE7">
            <w:pPr>
              <w:jc w:val="center"/>
            </w:pPr>
            <w:r>
              <w:t>%</w:t>
            </w:r>
          </w:p>
        </w:tc>
        <w:tc>
          <w:tcPr>
            <w:tcW w:w="918" w:type="dxa"/>
          </w:tcPr>
          <w:p w:rsidR="002E3202" w:rsidRDefault="00391FE7">
            <w:pPr>
              <w:jc w:val="center"/>
            </w:pPr>
            <w:r>
              <w:t>96</w:t>
            </w:r>
          </w:p>
        </w:tc>
        <w:tc>
          <w:tcPr>
            <w:tcW w:w="918" w:type="dxa"/>
          </w:tcPr>
          <w:p w:rsidR="002E3202" w:rsidRDefault="00391FE7">
            <w:pPr>
              <w:pStyle w:val="CellColumn"/>
              <w:jc w:val="center"/>
            </w:pPr>
            <w:r>
              <w:rPr>
                <w:rFonts w:cs="Times New Roman"/>
              </w:rPr>
              <w:t>Interna evidencija MMPI</w:t>
            </w:r>
          </w:p>
        </w:tc>
        <w:tc>
          <w:tcPr>
            <w:tcW w:w="918" w:type="dxa"/>
          </w:tcPr>
          <w:p w:rsidR="002E3202" w:rsidRDefault="00391FE7">
            <w:pPr>
              <w:jc w:val="center"/>
            </w:pPr>
            <w:r>
              <w:t>96</w:t>
            </w:r>
          </w:p>
        </w:tc>
        <w:tc>
          <w:tcPr>
            <w:tcW w:w="918" w:type="dxa"/>
          </w:tcPr>
          <w:p w:rsidR="002E3202" w:rsidRDefault="00391FE7">
            <w:pPr>
              <w:jc w:val="center"/>
            </w:pPr>
            <w:r>
              <w:t>96</w:t>
            </w:r>
          </w:p>
        </w:tc>
        <w:tc>
          <w:tcPr>
            <w:tcW w:w="918" w:type="dxa"/>
          </w:tcPr>
          <w:p w:rsidR="002E3202" w:rsidRDefault="00391FE7">
            <w:pPr>
              <w:jc w:val="center"/>
            </w:pPr>
            <w:r>
              <w:t>0</w:t>
            </w:r>
          </w:p>
        </w:tc>
      </w:tr>
    </w:tbl>
    <w:p w:rsidR="002E3202" w:rsidRDefault="002E3202">
      <w:pPr>
        <w:jc w:val="left"/>
      </w:pPr>
    </w:p>
    <w:p w:rsidR="002E3202" w:rsidRDefault="00391FE7">
      <w:pPr>
        <w:pStyle w:val="Heading4"/>
      </w:pPr>
      <w:r>
        <w:t>T754040 CEF TEHNIČKA POMOĆ</w:t>
      </w:r>
    </w:p>
    <w:p w:rsidR="002E3202" w:rsidRDefault="00391FE7">
      <w:pPr>
        <w:pStyle w:val="Heading8"/>
        <w:jc w:val="left"/>
      </w:pPr>
      <w:r>
        <w:t>Zakonske i druge pravne osnove</w:t>
      </w:r>
    </w:p>
    <w:p w:rsidR="002E3202" w:rsidRDefault="00391FE7">
      <w:r>
        <w:t xml:space="preserve">- Uredba (EU) 2021/1153 Europskog parlamenta i Vijeća od 7. srpnja 2021. o uspostavi Instrumenta za povezivanje Europe i stavljanju izvan snage uredaba (EU) br. 1316/2013 i (EU) br. 283/2014 </w:t>
      </w:r>
    </w:p>
    <w:p w:rsidR="002E3202" w:rsidRDefault="00391FE7">
      <w:r>
        <w:t>- Tehnička pomoć državama članicama za aktivnosti povezane s CEF-om, sudjelovanje u željezničkim teretnim koridorima i koridorima osnovne mreže te aktivnostima povezanim s TENtec-om i ažuriranjem i izvješćivanjem putem automatizirane razmjene podataka s TENtec-om – Hrvatska; Projekt 101082757 — 21-HR-TC-CEF-TA-HR  (eng. Technical Assistance to Member States for CEF related activities, participation in the RFC and CNC, and on TEN-Tec for updating and reporting via automated data exchange with TENtec – Croatia; Project 101082757 — 21-HR-TC-CEF-TA-HR)</w:t>
      </w:r>
    </w:p>
    <w:tbl>
      <w:tblPr>
        <w:tblStyle w:val="StilTablice"/>
        <w:tblW w:w="10206" w:type="dxa"/>
        <w:jc w:val="center"/>
        <w:tblLook w:val="04A0" w:firstRow="1" w:lastRow="0" w:firstColumn="1" w:lastColumn="0" w:noHBand="0" w:noVBand="1"/>
      </w:tblPr>
      <w:tblGrid>
        <w:gridCol w:w="1476"/>
        <w:gridCol w:w="1565"/>
        <w:gridCol w:w="1549"/>
        <w:gridCol w:w="1557"/>
        <w:gridCol w:w="1549"/>
        <w:gridCol w:w="154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T754040</w:t>
            </w:r>
          </w:p>
        </w:tc>
        <w:tc>
          <w:tcPr>
            <w:tcW w:w="1632" w:type="dxa"/>
            <w:vAlign w:val="top"/>
          </w:tcPr>
          <w:p w:rsidR="002E3202" w:rsidRDefault="00391FE7">
            <w:pPr>
              <w:jc w:val="right"/>
            </w:pPr>
            <w:r>
              <w:t>59.548</w:t>
            </w:r>
          </w:p>
        </w:tc>
        <w:tc>
          <w:tcPr>
            <w:tcW w:w="1632" w:type="dxa"/>
            <w:vAlign w:val="top"/>
          </w:tcPr>
          <w:p w:rsidR="002E3202" w:rsidRDefault="00391FE7">
            <w:pPr>
              <w:jc w:val="right"/>
            </w:pPr>
            <w:r>
              <w:t>82.193</w:t>
            </w:r>
          </w:p>
        </w:tc>
        <w:tc>
          <w:tcPr>
            <w:tcW w:w="1632" w:type="dxa"/>
            <w:vAlign w:val="top"/>
          </w:tcPr>
          <w:p w:rsidR="002E3202" w:rsidRDefault="00391FE7">
            <w:pPr>
              <w:jc w:val="right"/>
            </w:pPr>
            <w:r>
              <w:t>772.700</w:t>
            </w:r>
          </w:p>
        </w:tc>
        <w:tc>
          <w:tcPr>
            <w:tcW w:w="1632" w:type="dxa"/>
            <w:vAlign w:val="top"/>
          </w:tcPr>
          <w:p w:rsidR="002E3202" w:rsidRDefault="00391FE7">
            <w:pPr>
              <w:jc w:val="right"/>
            </w:pPr>
            <w:r>
              <w:t>92.400</w:t>
            </w:r>
          </w:p>
        </w:tc>
        <w:tc>
          <w:tcPr>
            <w:tcW w:w="1632" w:type="dxa"/>
            <w:vAlign w:val="top"/>
          </w:tcPr>
          <w:p w:rsidR="002E3202" w:rsidRDefault="00391FE7">
            <w:pPr>
              <w:jc w:val="right"/>
            </w:pPr>
            <w:r>
              <w:t>00</w:t>
            </w:r>
          </w:p>
        </w:tc>
        <w:tc>
          <w:tcPr>
            <w:tcW w:w="510" w:type="dxa"/>
            <w:vAlign w:val="top"/>
          </w:tcPr>
          <w:p w:rsidR="002E3202" w:rsidRDefault="00391FE7">
            <w:pPr>
              <w:jc w:val="right"/>
            </w:pPr>
            <w:r>
              <w:t>940,1</w:t>
            </w:r>
          </w:p>
        </w:tc>
      </w:tr>
    </w:tbl>
    <w:p w:rsidR="002E3202" w:rsidRDefault="002E3202">
      <w:pPr>
        <w:jc w:val="left"/>
      </w:pPr>
    </w:p>
    <w:p w:rsidR="002E3202" w:rsidRDefault="00391FE7">
      <w:r>
        <w:t xml:space="preserve">U skladu s ciljevima CEF Uredbe 21-27 (Uredba (EU) 2021/1153), specifični cilj CEF programa je doprinijeti razvoju projekata od zajedničkog interesa koji se odnose na učinkovite, međusobno povezane i multimodalne mreže i infrastrukturu za pametnu, interoperabilnu, održivu, uključivu, dostupnu i sigurnu mobilnost na trans-europskoj prometnoj mreži (TEN-T). Za postizanje ovog cilja je dodijeljena tehnička pomoć Ministarstvu mora, prometa i infrastrukture kao glavnom odgovornom dioniku za uspješnu provedbu infrastrukturnih ulaganja u TEN-T, odnosno Ugovor „Tehnička pomoć državama članicama za aktivnosti povezane s CEF-om, sudjelovanje u željezničkim teretnim koridorima i koridorima osnovne mreže te aktivnostima povezanim s TENtec-om i ažuriranjem i izvješćivanjem putem automatizirane razmjene podataka s TENtec-om – Hrvatska“. Sukladno predmetnom Ugovoru, Uprava za EU fondove i strateško planiranje korisnik je tehničke pomoći u okviru CEF Instrumenta. Svrha projekta je poboljšati protok informacija, unaprijediti provedbu prekograničnih projekata i projekata na TEN-T mreži, unaprijediti suradnju zemalja članica i razmjenu najbolje prakse. </w:t>
      </w:r>
    </w:p>
    <w:p w:rsidR="002E3202" w:rsidRDefault="00391FE7">
      <w:r>
        <w:t>U okviru T754040 planirana sredstva za 2024. godinu iznose 772.700 eura te  za 2025. godinu 92.400 eura.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35"/>
        <w:gridCol w:w="954"/>
        <w:gridCol w:w="935"/>
        <w:gridCol w:w="935"/>
        <w:gridCol w:w="935"/>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sudjelovanja na izvršnim odborima željezničkih teretnih koridora i forumima koridora osnovne mreže</w:t>
            </w:r>
          </w:p>
        </w:tc>
        <w:tc>
          <w:tcPr>
            <w:tcW w:w="2245" w:type="dxa"/>
            <w:vAlign w:val="top"/>
          </w:tcPr>
          <w:p w:rsidR="002E3202" w:rsidRDefault="00391FE7">
            <w:pPr>
              <w:pStyle w:val="CellColumn"/>
              <w:jc w:val="left"/>
            </w:pPr>
            <w:r>
              <w:rPr>
                <w:rFonts w:cs="Times New Roman"/>
              </w:rPr>
              <w:t>Sudjelovanje na službenim sastancima izvršnih odbora željezničkih teretnih koridora i forumima koridora osnovne mreže</w:t>
            </w:r>
          </w:p>
        </w:tc>
        <w:tc>
          <w:tcPr>
            <w:tcW w:w="918" w:type="dxa"/>
          </w:tcPr>
          <w:p w:rsidR="002E3202" w:rsidRDefault="00391FE7">
            <w:pPr>
              <w:jc w:val="center"/>
            </w:pPr>
            <w:r>
              <w:t>broj</w:t>
            </w:r>
          </w:p>
        </w:tc>
        <w:tc>
          <w:tcPr>
            <w:tcW w:w="918" w:type="dxa"/>
          </w:tcPr>
          <w:p w:rsidR="002E3202" w:rsidRDefault="00391FE7">
            <w:pPr>
              <w:jc w:val="center"/>
            </w:pPr>
            <w:r>
              <w:t>2</w:t>
            </w:r>
          </w:p>
        </w:tc>
        <w:tc>
          <w:tcPr>
            <w:tcW w:w="918" w:type="dxa"/>
          </w:tcPr>
          <w:p w:rsidR="002E3202" w:rsidRDefault="00391FE7">
            <w:pPr>
              <w:pStyle w:val="CellColumn"/>
              <w:jc w:val="center"/>
            </w:pPr>
            <w:r>
              <w:rPr>
                <w:rFonts w:cs="Times New Roman"/>
              </w:rPr>
              <w:t>Interna evidencija MMPI; Službeni zapisnici s izvršnih odbora i foruma</w:t>
            </w:r>
          </w:p>
        </w:tc>
        <w:tc>
          <w:tcPr>
            <w:tcW w:w="918" w:type="dxa"/>
          </w:tcPr>
          <w:p w:rsidR="002E3202" w:rsidRDefault="00391FE7">
            <w:pPr>
              <w:jc w:val="center"/>
            </w:pPr>
            <w:r>
              <w:t>14</w:t>
            </w:r>
          </w:p>
        </w:tc>
        <w:tc>
          <w:tcPr>
            <w:tcW w:w="918" w:type="dxa"/>
          </w:tcPr>
          <w:p w:rsidR="002E3202" w:rsidRDefault="00391FE7">
            <w:pPr>
              <w:jc w:val="center"/>
            </w:pPr>
            <w:r>
              <w:t>14</w:t>
            </w:r>
          </w:p>
        </w:tc>
        <w:tc>
          <w:tcPr>
            <w:tcW w:w="918" w:type="dxa"/>
          </w:tcPr>
          <w:p w:rsidR="002E3202" w:rsidRDefault="00391FE7">
            <w:pPr>
              <w:jc w:val="center"/>
            </w:pPr>
            <w:r>
              <w:t>0</w:t>
            </w:r>
          </w:p>
        </w:tc>
      </w:tr>
    </w:tbl>
    <w:p w:rsidR="002E3202" w:rsidRDefault="002E3202">
      <w:pPr>
        <w:jc w:val="left"/>
      </w:pPr>
    </w:p>
    <w:p w:rsidR="002E3202" w:rsidRDefault="00391FE7">
      <w:pPr>
        <w:pStyle w:val="Heading4"/>
      </w:pPr>
      <w:r>
        <w:t>T754041 OP KONKURENTNOST I KOHEZIJA, SPECIFIČNI CILJ 2A1 RAZVOJ INFRASTRUKTURE ŠIROKOPOJASNE MREŽE SLJEDEĆE GENERACIJE</w:t>
      </w:r>
    </w:p>
    <w:p w:rsidR="002E3202" w:rsidRDefault="00391FE7">
      <w:pPr>
        <w:pStyle w:val="Heading8"/>
        <w:jc w:val="left"/>
      </w:pPr>
      <w:r>
        <w:t>Zakonske i druge pravne osnove</w:t>
      </w:r>
    </w:p>
    <w:p w:rsidR="002E3202" w:rsidRDefault="00391FE7">
      <w:r>
        <w:t xml:space="preserve">- Strategija Europa 2020 (ožujak 2010.) i Digitalna agenda za Europu do 2020.   </w:t>
      </w:r>
    </w:p>
    <w:p w:rsidR="002E3202" w:rsidRDefault="00391FE7">
      <w:r>
        <w:t xml:space="preserve">- Sporazum o partnerstvu između RH i EK za korištenje EU strukturnih i investicijskih fondova za rast i radna mjesta u razdoblju 2014.-2020.   </w:t>
      </w:r>
    </w:p>
    <w:p w:rsidR="002E3202" w:rsidRDefault="00391FE7">
      <w:r>
        <w:t xml:space="preserve">- Operativni program „Konkurentnost i kohezija 2014.-2020.“, izmjena odobrena od strane EK 16. prosinca 2022. godine   </w:t>
      </w:r>
    </w:p>
    <w:p w:rsidR="002E3202" w:rsidRDefault="00391FE7">
      <w:r>
        <w:t xml:space="preserve">- Zakon o uspostavi institucionalnog okvira za provedbu ESI fondova u RH u financijskom razdoblju 2014.-2020.   </w:t>
      </w:r>
    </w:p>
    <w:p w:rsidR="002E3202" w:rsidRDefault="00391FE7">
      <w:r>
        <w:t xml:space="preserve">- Uredba o tijelima u sustavima upravljanja i kontrole korištenja ESF, EFRR i KF, u vezi s ciljem „Ulaganje za rast i radna mjesta“  </w:t>
      </w:r>
    </w:p>
    <w:p w:rsidR="002E3202" w:rsidRDefault="00391FE7">
      <w:r>
        <w:t>- Sporazum o utvrđivanju uvjeta za dodjelu javnih sredstava u okviru Prioritetne osi 2 „Korištenje informacijske i komunikacijske tehnologije“, Specifičnog cilja 2a1 „Razvoj infrastrukture širokopojasne mreže sljedeće generacije u području bez infrastrukture širokopojasne mreže sljedeće generacije i bez dovoljnog komercijalnog interesa, za maksimalno povećanje socijalne i ekonomske dobrobiti“ Operativnog programa „Konkurentnost i kohezija“ u financijskom razdoblju 2014. – 2020. (dalje: Sporazum)</w:t>
      </w:r>
    </w:p>
    <w:tbl>
      <w:tblPr>
        <w:tblStyle w:val="StilTablice"/>
        <w:tblW w:w="10206" w:type="dxa"/>
        <w:jc w:val="center"/>
        <w:tblLook w:val="04A0" w:firstRow="1" w:lastRow="0" w:firstColumn="1" w:lastColumn="0" w:noHBand="0" w:noVBand="1"/>
      </w:tblPr>
      <w:tblGrid>
        <w:gridCol w:w="1469"/>
        <w:gridCol w:w="1563"/>
        <w:gridCol w:w="1573"/>
        <w:gridCol w:w="1573"/>
        <w:gridCol w:w="1529"/>
        <w:gridCol w:w="152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T754041</w:t>
            </w:r>
          </w:p>
        </w:tc>
        <w:tc>
          <w:tcPr>
            <w:tcW w:w="1632" w:type="dxa"/>
            <w:vAlign w:val="top"/>
          </w:tcPr>
          <w:p w:rsidR="002E3202" w:rsidRDefault="00391FE7">
            <w:pPr>
              <w:jc w:val="right"/>
            </w:pPr>
            <w:r>
              <w:t>4.749.539</w:t>
            </w:r>
          </w:p>
        </w:tc>
        <w:tc>
          <w:tcPr>
            <w:tcW w:w="1632" w:type="dxa"/>
            <w:vAlign w:val="top"/>
          </w:tcPr>
          <w:p w:rsidR="002E3202" w:rsidRDefault="00391FE7">
            <w:pPr>
              <w:jc w:val="right"/>
            </w:pPr>
            <w:r>
              <w:t>31.289.596</w:t>
            </w:r>
          </w:p>
        </w:tc>
        <w:tc>
          <w:tcPr>
            <w:tcW w:w="1632" w:type="dxa"/>
            <w:vAlign w:val="top"/>
          </w:tcPr>
          <w:p w:rsidR="002E3202" w:rsidRDefault="00391FE7">
            <w:pPr>
              <w:jc w:val="right"/>
            </w:pPr>
            <w:r>
              <w:t>21.552.500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68,9</w:t>
            </w:r>
          </w:p>
        </w:tc>
      </w:tr>
    </w:tbl>
    <w:p w:rsidR="002E3202" w:rsidRDefault="002E3202">
      <w:pPr>
        <w:jc w:val="left"/>
      </w:pPr>
    </w:p>
    <w:p w:rsidR="002E3202" w:rsidRDefault="00391FE7">
      <w:r>
        <w:t xml:space="preserve">Tekući projekt T754041 OP Konkurentnost i kohezija, specifični cilj 2a1 Razvoj infrastrukture širokopojasne mreže sljedeće generacije (dalje: T754041) ima za cilj postizanje ujednačenog pokrivanja hrvatskog teritorija brzim i ultra-brzim širokopojasnim pristupom internetu, sukladno ciljevima Digitalne agende za Europu (smanjenje digitalnog jaza). Isto se planira postići financiranjem sljedeća dva podprojekta:  </w:t>
      </w:r>
    </w:p>
    <w:p w:rsidR="002E3202" w:rsidRDefault="00391FE7">
      <w:r>
        <w:t>-</w:t>
      </w:r>
      <w:r>
        <w:tab/>
        <w:t xml:space="preserve">„Izgradnja širokopojasne agregacijske infrastrukture mreža nove generacije (NGN) u područjima u kojima ne postoji dostatan komercijalni interes za ulaganja“ i  </w:t>
      </w:r>
    </w:p>
    <w:p w:rsidR="002E3202" w:rsidRDefault="00391FE7">
      <w:r>
        <w:t>-</w:t>
      </w:r>
      <w:r>
        <w:tab/>
        <w:t xml:space="preserve">„Izgradnja mreža sljedeće generacije (NGN)/pristupnih mreža sljedeće generacije (NGA) u NGA bijelim područjima“.  </w:t>
      </w:r>
    </w:p>
    <w:p w:rsidR="002E3202" w:rsidRDefault="00391FE7">
      <w:r>
        <w:t xml:space="preserve">Sukladno odredbama Sporazuma, sklopljenog s Ministarstvom regionalnoga razvoja i fondova EU (dalje: MRRFEU), Ministarstvo mora, prometa i infrastrukture djeluje u svojstvu sektorski nadležnog tijela za specifični cilj 2a1 Razvoj infrastrukture širokopojasne mreže sljedeće generacije (dalje: s.c.2a1) te temeljem istog osigurava i isplaćuje sredstva krajnjim korisnicima bespovratnih sredstava. </w:t>
      </w:r>
    </w:p>
    <w:p w:rsidR="002E3202" w:rsidRDefault="00391FE7">
      <w:r>
        <w:t xml:space="preserve">U okviru s.c.2a1 potpisana su 22 ugovora o dodjeli bespovratnih sredstava ukupne vrijednosti prihvatljivih izdataka 263.793.623 eura, odnosno 193.477.543 eura bespovratnih sredstava, od čega je jedan ugovor raskinut.  </w:t>
      </w:r>
    </w:p>
    <w:p w:rsidR="002E3202" w:rsidRDefault="00391FE7">
      <w:r>
        <w:t xml:space="preserve">Ukupna alokacija EU sredstava dodijeljena za s.c.2a1 iznosi 145.858.438 eura. Korisnicima je od početka provedbe OPKK do sada isplaćeno 20,6 milijuna eura EU sredstava, što predstavlja 14 % alokacije. </w:t>
      </w:r>
    </w:p>
    <w:p w:rsidR="002E3202" w:rsidRDefault="00391FE7">
      <w:r>
        <w:t xml:space="preserve">Planirano razdoblje provedbe ugovorenih projekata, odnosno razdoblje prihvatljivosti troškova je do kraja 2023., a 2024. je zadnja godina financiranja iz OPKK od strane sektorski nadležnog tijela, dok se veliki projekt „Izgradnja nacionalne agregacijske širokopojasne infrastrukture sljedeće generacije i povezivanje ciljanih korisnika unutar tijela javne uprave (javnih korisnika) sa suvremenom elektroničkom komunikacijskom infrastrukturom sljedeće generacije“ priprema za faziranje i financiranje iz novog programskog razdoblja 2021.-2027. </w:t>
      </w:r>
    </w:p>
    <w:p w:rsidR="002E3202" w:rsidRDefault="00391FE7">
      <w:r>
        <w:t>Planirani iznosi po godinama, vidljivi su iz razrade rashoda planova po svakom podprojektu (P4).</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35"/>
        <w:gridCol w:w="954"/>
        <w:gridCol w:w="935"/>
        <w:gridCol w:w="935"/>
        <w:gridCol w:w="935"/>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izvršenih isplata korisniku prije krajnjeg roka za plaćanje</w:t>
            </w:r>
          </w:p>
        </w:tc>
        <w:tc>
          <w:tcPr>
            <w:tcW w:w="2245" w:type="dxa"/>
            <w:vAlign w:val="top"/>
          </w:tcPr>
          <w:p w:rsidR="002E3202" w:rsidRDefault="00391FE7">
            <w:pPr>
              <w:pStyle w:val="CellColumn"/>
              <w:jc w:val="left"/>
            </w:pPr>
            <w:r>
              <w:rPr>
                <w:rFonts w:cs="Times New Roman"/>
              </w:rPr>
              <w:t>Udio izvršenih isplata korisniku prije krajnjeg roka za plaćanje u ukupnom broju izvršenih isplata</w:t>
            </w:r>
          </w:p>
        </w:tc>
        <w:tc>
          <w:tcPr>
            <w:tcW w:w="918" w:type="dxa"/>
          </w:tcPr>
          <w:p w:rsidR="002E3202" w:rsidRDefault="00391FE7">
            <w:pPr>
              <w:jc w:val="center"/>
            </w:pPr>
            <w:r>
              <w:t>%</w:t>
            </w:r>
          </w:p>
        </w:tc>
        <w:tc>
          <w:tcPr>
            <w:tcW w:w="918" w:type="dxa"/>
          </w:tcPr>
          <w:p w:rsidR="002E3202" w:rsidRDefault="00391FE7">
            <w:pPr>
              <w:jc w:val="center"/>
            </w:pPr>
            <w:r>
              <w:t>94</w:t>
            </w:r>
          </w:p>
        </w:tc>
        <w:tc>
          <w:tcPr>
            <w:tcW w:w="918" w:type="dxa"/>
          </w:tcPr>
          <w:p w:rsidR="002E3202" w:rsidRDefault="00391FE7">
            <w:pPr>
              <w:pStyle w:val="CellColumn"/>
              <w:jc w:val="center"/>
            </w:pPr>
            <w:r>
              <w:rPr>
                <w:rFonts w:cs="Times New Roman"/>
              </w:rPr>
              <w:t>Interna evidencija MMPI</w:t>
            </w:r>
          </w:p>
        </w:tc>
        <w:tc>
          <w:tcPr>
            <w:tcW w:w="918" w:type="dxa"/>
          </w:tcPr>
          <w:p w:rsidR="002E3202" w:rsidRDefault="00391FE7">
            <w:pPr>
              <w:jc w:val="center"/>
            </w:pPr>
            <w:r>
              <w:t>94</w:t>
            </w:r>
          </w:p>
        </w:tc>
        <w:tc>
          <w:tcPr>
            <w:tcW w:w="918" w:type="dxa"/>
          </w:tcPr>
          <w:p w:rsidR="002E3202" w:rsidRDefault="00391FE7">
            <w:pPr>
              <w:jc w:val="center"/>
            </w:pPr>
            <w:r>
              <w:t>0</w:t>
            </w:r>
          </w:p>
        </w:tc>
        <w:tc>
          <w:tcPr>
            <w:tcW w:w="918" w:type="dxa"/>
          </w:tcPr>
          <w:p w:rsidR="002E3202" w:rsidRDefault="00391FE7">
            <w:pPr>
              <w:jc w:val="center"/>
            </w:pPr>
            <w:r>
              <w:t>0</w:t>
            </w:r>
          </w:p>
        </w:tc>
      </w:tr>
    </w:tbl>
    <w:p w:rsidR="002E3202" w:rsidRDefault="002E3202">
      <w:pPr>
        <w:jc w:val="left"/>
      </w:pPr>
    </w:p>
    <w:p w:rsidR="002E3202" w:rsidRDefault="00391FE7">
      <w:pPr>
        <w:pStyle w:val="Heading4"/>
      </w:pPr>
      <w:r>
        <w:t>T820077 NACIONALNI PLAN OPORAVKA I OTPORNOSTI</w:t>
      </w:r>
    </w:p>
    <w:p w:rsidR="002E3202" w:rsidRDefault="00391FE7">
      <w:pPr>
        <w:pStyle w:val="Heading8"/>
        <w:jc w:val="left"/>
      </w:pPr>
      <w:r>
        <w:t>Zakonske i druge pravne osnove</w:t>
      </w:r>
    </w:p>
    <w:p w:rsidR="002E3202" w:rsidRDefault="00391FE7">
      <w:r>
        <w:t xml:space="preserve">- Uredba (EU) 2021/241 Europskog Parlamenta i Vijeća od 12. veljače 2021. godine o uspostavi Mehanizma za oporavak i otpornost Odluka o sustavu upravljanja i praćenja provedbe aktivnosti u okviru Nacionalnog plana oporavka i otpornosti 2021. – 2026.  </w:t>
      </w:r>
    </w:p>
    <w:p w:rsidR="002E3202" w:rsidRDefault="00391FE7">
      <w:r>
        <w:t xml:space="preserve">- Nacionalna razvojna strategija Republike Hrvatske do 2030. godine </w:t>
      </w:r>
    </w:p>
    <w:p w:rsidR="002E3202" w:rsidRDefault="00391FE7">
      <w:r>
        <w:t xml:space="preserve">- Nacionalni plan oporavka i otpornosti 2021.-2026., srpanj 2021. </w:t>
      </w:r>
    </w:p>
    <w:p w:rsidR="002E3202" w:rsidRDefault="00391FE7">
      <w:r>
        <w:t>- Sporazum o delegiranim poslovima između Tijela državne uprave nadležnih za komponentu/podkomponentu Nacionalnog plana oporavka i otpornosti i Provedbenih tijela od 17. svibnja 2022.</w:t>
      </w:r>
    </w:p>
    <w:tbl>
      <w:tblPr>
        <w:tblStyle w:val="StilTablice"/>
        <w:tblW w:w="10206" w:type="dxa"/>
        <w:jc w:val="center"/>
        <w:tblLook w:val="04A0" w:firstRow="1" w:lastRow="0" w:firstColumn="1" w:lastColumn="0" w:noHBand="0" w:noVBand="1"/>
      </w:tblPr>
      <w:tblGrid>
        <w:gridCol w:w="1445"/>
        <w:gridCol w:w="1547"/>
        <w:gridCol w:w="1561"/>
        <w:gridCol w:w="1561"/>
        <w:gridCol w:w="1561"/>
        <w:gridCol w:w="156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T820077</w:t>
            </w:r>
          </w:p>
        </w:tc>
        <w:tc>
          <w:tcPr>
            <w:tcW w:w="1632" w:type="dxa"/>
            <w:vAlign w:val="top"/>
          </w:tcPr>
          <w:p w:rsidR="002E3202" w:rsidRDefault="00391FE7">
            <w:pPr>
              <w:jc w:val="right"/>
            </w:pPr>
            <w:r>
              <w:t>20.213.348</w:t>
            </w:r>
          </w:p>
        </w:tc>
        <w:tc>
          <w:tcPr>
            <w:tcW w:w="1632" w:type="dxa"/>
            <w:vAlign w:val="top"/>
          </w:tcPr>
          <w:p w:rsidR="002E3202" w:rsidRDefault="00391FE7">
            <w:pPr>
              <w:jc w:val="right"/>
            </w:pPr>
            <w:r>
              <w:t>106.116.324</w:t>
            </w:r>
          </w:p>
        </w:tc>
        <w:tc>
          <w:tcPr>
            <w:tcW w:w="1632" w:type="dxa"/>
            <w:vAlign w:val="top"/>
          </w:tcPr>
          <w:p w:rsidR="002E3202" w:rsidRDefault="00391FE7">
            <w:pPr>
              <w:jc w:val="right"/>
            </w:pPr>
            <w:r>
              <w:t>133.751.392</w:t>
            </w:r>
          </w:p>
        </w:tc>
        <w:tc>
          <w:tcPr>
            <w:tcW w:w="1632" w:type="dxa"/>
            <w:vAlign w:val="top"/>
          </w:tcPr>
          <w:p w:rsidR="002E3202" w:rsidRDefault="00391FE7">
            <w:pPr>
              <w:jc w:val="right"/>
            </w:pPr>
            <w:r>
              <w:t>241.001.998</w:t>
            </w:r>
          </w:p>
        </w:tc>
        <w:tc>
          <w:tcPr>
            <w:tcW w:w="1632" w:type="dxa"/>
            <w:vAlign w:val="top"/>
          </w:tcPr>
          <w:p w:rsidR="002E3202" w:rsidRDefault="00391FE7">
            <w:pPr>
              <w:jc w:val="right"/>
            </w:pPr>
            <w:r>
              <w:t>201.015.998</w:t>
            </w:r>
          </w:p>
        </w:tc>
        <w:tc>
          <w:tcPr>
            <w:tcW w:w="510" w:type="dxa"/>
            <w:vAlign w:val="top"/>
          </w:tcPr>
          <w:p w:rsidR="002E3202" w:rsidRDefault="00391FE7">
            <w:pPr>
              <w:jc w:val="right"/>
            </w:pPr>
            <w:r>
              <w:t>126,0</w:t>
            </w:r>
          </w:p>
        </w:tc>
      </w:tr>
    </w:tbl>
    <w:p w:rsidR="002E3202" w:rsidRDefault="002E3202">
      <w:pPr>
        <w:jc w:val="left"/>
      </w:pPr>
    </w:p>
    <w:p w:rsidR="002E3202" w:rsidRDefault="00391FE7">
      <w:r>
        <w:t xml:space="preserve">Europska komisija je krajem svibnja 2020. godine, slijedom COVID-19  pandemije,  predstavila vrlo sveobuhvatan paket u kojem je povezala budući višegodišnji financijski okvir (VFO) 2021.-2027. s posebnom pažnjom na oporavku u okviru instrumenta „EU sljedeće generacije“ (eng. Next Generation EU - NGEU). Jedan od pojedinačnih programa u okviru EU sljedeće generacije je Mehanizam za oporavak i otpornost (eng. Recovery and Resilience Facility – RRF) u sklopu kojeg države članice pripremaju nacionalne planove za oporavak i otpornost kojima se utvrđuje plan reformi i ulaganja dotične države članice. </w:t>
      </w:r>
    </w:p>
    <w:p w:rsidR="002E3202" w:rsidRDefault="00391FE7">
      <w:r>
        <w:t xml:space="preserve">Opći ciljevi koji moraju biti adresirani u Nacionalnom planu oporavka i otpornosti (dalje: NPOO) su:  i) promicanje EU gospodarske, socijalne i teritorijalne kohezije; ii) jačanje kapaciteta za otpornost i prilagodbu; iii) smanjivanje socijalnog i gospodarskog utjecaja na krizu i iv) podrška zelenoj i digitalnoj tranziciji.  </w:t>
      </w:r>
    </w:p>
    <w:p w:rsidR="002E3202" w:rsidRDefault="00391FE7">
      <w:r>
        <w:t xml:space="preserve">NPOO funkcionira kao paket reformskih i investicijskih mjera čija vrijednost u slučaju prometa iznosi 727,19 milijuna eura (reforma cestovnog sektora, reforma željezničkog sektora, reforma pomorstva i unutarnje plovidbe, reforma Unaprjeđenje sustava javnog prijevoza, reforma Ekologizacija prometa), a u slučaju digitalne povezivosti 125,73 milijuna eura (reforma Jačanje povezivosti kao osnove digitalne tranzicije društva i gospodarstva). </w:t>
      </w:r>
    </w:p>
    <w:p w:rsidR="002E3202" w:rsidRDefault="00391FE7">
      <w:r>
        <w:t xml:space="preserve">U okviru NPOO potpisano je 8 ugovora ukupne vrijednosti bespovratnih sredstava 298.561.630 eura, a završen je 1 projekt. Korisnicima je od početka provedbe NPOO do sada isplaćeno 107,36 milijuna eura EU sredstava, što predstavlja 14% alokacije. </w:t>
      </w:r>
    </w:p>
    <w:p w:rsidR="002E3202" w:rsidRDefault="00391FE7">
      <w:r>
        <w:t>U okviru plana proračuna za 2024.-2026., za relevantne mjere iz NPOO-a ukupno je planirano za 2024. godinu 153.751.392 eura, za 2025. godinu 260.926.296 eura te za 2026. godinu 201.091.700 eura.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35"/>
        <w:gridCol w:w="954"/>
        <w:gridCol w:w="935"/>
        <w:gridCol w:w="935"/>
        <w:gridCol w:w="935"/>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izvršenih isplata korisniku prije krajnjeg roka za plaćanje</w:t>
            </w:r>
          </w:p>
        </w:tc>
        <w:tc>
          <w:tcPr>
            <w:tcW w:w="2245" w:type="dxa"/>
            <w:vAlign w:val="top"/>
          </w:tcPr>
          <w:p w:rsidR="002E3202" w:rsidRDefault="00391FE7">
            <w:pPr>
              <w:pStyle w:val="CellColumn"/>
              <w:jc w:val="left"/>
            </w:pPr>
            <w:r>
              <w:rPr>
                <w:rFonts w:cs="Times New Roman"/>
              </w:rPr>
              <w:t>Udio izvršenih isplata korisniku prije krajnjeg roka za plaćanje u ukupnom broju izvršenih isplata</w:t>
            </w:r>
          </w:p>
        </w:tc>
        <w:tc>
          <w:tcPr>
            <w:tcW w:w="918" w:type="dxa"/>
          </w:tcPr>
          <w:p w:rsidR="002E3202" w:rsidRDefault="00391FE7">
            <w:pPr>
              <w:jc w:val="center"/>
            </w:pPr>
            <w:r>
              <w:t>%</w:t>
            </w:r>
          </w:p>
        </w:tc>
        <w:tc>
          <w:tcPr>
            <w:tcW w:w="918" w:type="dxa"/>
          </w:tcPr>
          <w:p w:rsidR="002E3202" w:rsidRDefault="00391FE7">
            <w:pPr>
              <w:jc w:val="center"/>
            </w:pPr>
            <w:r>
              <w:t>75</w:t>
            </w:r>
          </w:p>
        </w:tc>
        <w:tc>
          <w:tcPr>
            <w:tcW w:w="918" w:type="dxa"/>
          </w:tcPr>
          <w:p w:rsidR="002E3202" w:rsidRDefault="00391FE7">
            <w:pPr>
              <w:pStyle w:val="CellColumn"/>
              <w:jc w:val="center"/>
            </w:pPr>
            <w:r>
              <w:rPr>
                <w:rFonts w:cs="Times New Roman"/>
              </w:rPr>
              <w:t>Interna evidencija MMPI</w:t>
            </w:r>
          </w:p>
        </w:tc>
        <w:tc>
          <w:tcPr>
            <w:tcW w:w="918" w:type="dxa"/>
          </w:tcPr>
          <w:p w:rsidR="002E3202" w:rsidRDefault="00391FE7">
            <w:pPr>
              <w:jc w:val="center"/>
            </w:pPr>
            <w:r>
              <w:t>75</w:t>
            </w:r>
          </w:p>
        </w:tc>
        <w:tc>
          <w:tcPr>
            <w:tcW w:w="918" w:type="dxa"/>
          </w:tcPr>
          <w:p w:rsidR="002E3202" w:rsidRDefault="00391FE7">
            <w:pPr>
              <w:jc w:val="center"/>
            </w:pPr>
            <w:r>
              <w:t>75</w:t>
            </w:r>
          </w:p>
        </w:tc>
        <w:tc>
          <w:tcPr>
            <w:tcW w:w="918" w:type="dxa"/>
          </w:tcPr>
          <w:p w:rsidR="002E3202" w:rsidRDefault="00391FE7">
            <w:pPr>
              <w:jc w:val="center"/>
            </w:pPr>
            <w:r>
              <w:t>76</w:t>
            </w:r>
          </w:p>
        </w:tc>
      </w:tr>
    </w:tbl>
    <w:p w:rsidR="002E3202" w:rsidRDefault="002E3202">
      <w:pPr>
        <w:jc w:val="left"/>
      </w:pPr>
    </w:p>
    <w:p w:rsidR="002E3202" w:rsidRDefault="00391FE7">
      <w:pPr>
        <w:pStyle w:val="Heading4"/>
      </w:pPr>
      <w:r>
        <w:t>T820079 PROGRAM KONKURENTNOST I KOHEZIJA 2021.-2027.</w:t>
      </w:r>
    </w:p>
    <w:p w:rsidR="002E3202" w:rsidRDefault="00391FE7">
      <w:pPr>
        <w:pStyle w:val="Heading8"/>
        <w:jc w:val="left"/>
      </w:pPr>
      <w:r>
        <w:t>Zakonske i druge pravne osnove</w:t>
      </w:r>
    </w:p>
    <w:p w:rsidR="002E3202" w:rsidRDefault="00391FE7">
      <w:r>
        <w:t xml:space="preserve">- Zakon o institucionalnom okviru za korištenje fondova Europske unije u Republici Hrvatskoj  </w:t>
      </w:r>
    </w:p>
    <w:p w:rsidR="002E3202" w:rsidRDefault="00391FE7">
      <w:r>
        <w:t xml:space="preserve">- Uredba o tijelima u Sustavu upravljanja i kontrole za provedbu programa iz područja konkurentnosti i kohezije za financijsko razdoblje 2021. – 2027. (dalje: Uredba) </w:t>
      </w:r>
    </w:p>
    <w:p w:rsidR="002E3202" w:rsidRDefault="00391FE7">
      <w:r>
        <w:t xml:space="preserve">- Strategija prometnog razvoja Republike Hrvatske za razdoblje od 2017. do 2030. </w:t>
      </w:r>
    </w:p>
    <w:p w:rsidR="002E3202" w:rsidRDefault="00391FE7">
      <w:r>
        <w:t>Program Konkurentnost i kohezija 2021.-2027., odobren od strane EK 9. studenoga 2022. godine</w:t>
      </w:r>
    </w:p>
    <w:tbl>
      <w:tblPr>
        <w:tblStyle w:val="StilTablice"/>
        <w:tblW w:w="10206" w:type="dxa"/>
        <w:jc w:val="center"/>
        <w:tblLook w:val="04A0" w:firstRow="1" w:lastRow="0" w:firstColumn="1" w:lastColumn="0" w:noHBand="0" w:noVBand="1"/>
      </w:tblPr>
      <w:tblGrid>
        <w:gridCol w:w="1454"/>
        <w:gridCol w:w="1538"/>
        <w:gridCol w:w="1546"/>
        <w:gridCol w:w="1558"/>
        <w:gridCol w:w="1570"/>
        <w:gridCol w:w="157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T820079</w:t>
            </w:r>
          </w:p>
        </w:tc>
        <w:tc>
          <w:tcPr>
            <w:tcW w:w="1632" w:type="dxa"/>
            <w:vAlign w:val="top"/>
          </w:tcPr>
          <w:p w:rsidR="002E3202" w:rsidRDefault="00391FE7">
            <w:pPr>
              <w:jc w:val="right"/>
            </w:pPr>
            <w:r>
              <w:t>00</w:t>
            </w:r>
          </w:p>
        </w:tc>
        <w:tc>
          <w:tcPr>
            <w:tcW w:w="1632" w:type="dxa"/>
            <w:vAlign w:val="top"/>
          </w:tcPr>
          <w:p w:rsidR="002E3202" w:rsidRDefault="00391FE7">
            <w:pPr>
              <w:jc w:val="right"/>
            </w:pPr>
            <w:r>
              <w:t>2.738.472</w:t>
            </w:r>
          </w:p>
        </w:tc>
        <w:tc>
          <w:tcPr>
            <w:tcW w:w="1632" w:type="dxa"/>
            <w:vAlign w:val="top"/>
          </w:tcPr>
          <w:p w:rsidR="002E3202" w:rsidRDefault="00391FE7">
            <w:pPr>
              <w:jc w:val="right"/>
            </w:pPr>
            <w:r>
              <w:t>79.515.859</w:t>
            </w:r>
          </w:p>
        </w:tc>
        <w:tc>
          <w:tcPr>
            <w:tcW w:w="1632" w:type="dxa"/>
            <w:vAlign w:val="top"/>
          </w:tcPr>
          <w:p w:rsidR="002E3202" w:rsidRDefault="00391FE7">
            <w:pPr>
              <w:jc w:val="right"/>
            </w:pPr>
            <w:r>
              <w:t>254.914.783</w:t>
            </w:r>
          </w:p>
        </w:tc>
        <w:tc>
          <w:tcPr>
            <w:tcW w:w="1632" w:type="dxa"/>
            <w:vAlign w:val="top"/>
          </w:tcPr>
          <w:p w:rsidR="002E3202" w:rsidRDefault="00391FE7">
            <w:pPr>
              <w:jc w:val="right"/>
            </w:pPr>
            <w:r>
              <w:t>235.920.987</w:t>
            </w:r>
          </w:p>
        </w:tc>
        <w:tc>
          <w:tcPr>
            <w:tcW w:w="510" w:type="dxa"/>
            <w:vAlign w:val="top"/>
          </w:tcPr>
          <w:p w:rsidR="002E3202" w:rsidRDefault="00391FE7">
            <w:pPr>
              <w:jc w:val="right"/>
            </w:pPr>
            <w:r>
              <w:t>2903,7</w:t>
            </w:r>
          </w:p>
        </w:tc>
      </w:tr>
    </w:tbl>
    <w:p w:rsidR="002E3202" w:rsidRDefault="002E3202">
      <w:pPr>
        <w:jc w:val="left"/>
      </w:pPr>
    </w:p>
    <w:p w:rsidR="002E3202" w:rsidRDefault="00391FE7">
      <w:r>
        <w:t xml:space="preserve">Program Konkurentnost i kohezija 2021.-2027. (dalje: PKK) definira tri prioritetna područja, odnosno četiri specifična cilja za ulaganje u resoru prometa i digitalizacije, za koja je planiran iznos doprinosa EU-a od 1.209.776.175 eura.  </w:t>
      </w:r>
    </w:p>
    <w:p w:rsidR="002E3202" w:rsidRDefault="00391FE7">
      <w:r>
        <w:t xml:space="preserve">U novom financijskom razdoblju 2021.-2027. nastavit će se financirati prometna i digitalna infrastruktura sredstvima Kohezijskog fonda i Europskog fonda za regionalni razvoj, s razdobljem prihvatljivosti troškova do kraja 2029., a 2030. je zadnja godina financiranja iz PKK. </w:t>
      </w:r>
    </w:p>
    <w:p w:rsidR="002E3202" w:rsidRDefault="00391FE7">
      <w:r>
        <w:t xml:space="preserve">Sukladno odredbama Uredbe, Ministarstvo mora, prometa i infrastrukture djeluje u svojstvu Posredničkog tijela razine 1 za relevantne specifične ciljeve, dok je u svojstvu Posredničkog tijela razine 2 nadležna Središnja agencija za financiranje i ugovaranje programa i projekata Europske unije.   </w:t>
      </w:r>
    </w:p>
    <w:p w:rsidR="002E3202" w:rsidRDefault="00391FE7">
      <w:r>
        <w:t xml:space="preserve">Preduvjet za objavu poziva za dodjelu bespovratnih sredstava u okviru PKK je usvajanje kriterija prihvatljivosti za odabir operacija, koji su u proceduri donošenja te se očekuje sklapanje prvih ugovora o dodjeli bespovratnih sredstava tijekom 2024. </w:t>
      </w:r>
    </w:p>
    <w:p w:rsidR="002E3202" w:rsidRDefault="00391FE7">
      <w:r>
        <w:t xml:space="preserve">Za tri specifična cilja u resoru prometa planiran je ukupan iznos doprinosa EU-a od 1.159.776.175 eura: </w:t>
      </w:r>
    </w:p>
    <w:p w:rsidR="002E3202" w:rsidRDefault="00391FE7">
      <w:r>
        <w:t xml:space="preserve">Specifični cilj „Promicanje održive multimodalne gradske mobilnosti kao dijela prijelaza na gospodarstvo s nultom neto stopom emisija ugljika“ usmjeren je na poticanje korištenja održivijih načina prijevoza u urbanim područjima, uključujući prigradske željezničke usluge u većim gradovima, autobusni, tramvajski i nemotorizirani prijevoz, u svrhu povećanja udjela energije iz obnovljivih izvora u sektoru prometa. Planiran iznos doprinosa EU-a za predmetni cilj je 179.776.174 eura, iz Europskog fonda za regionalni razvoj i Kohezijskog fonda.  </w:t>
      </w:r>
    </w:p>
    <w:p w:rsidR="002E3202" w:rsidRDefault="00391FE7">
      <w:r>
        <w:t xml:space="preserve">Specifični cilj „Razvoj pametne, sigurne, održive i intermodalne mreže TEN-T koja je otporna na klimatske promjene“ usmjeren je na dovršetak izgradnje osnovne i sveobuhvatne željezničke mreže u okviru transeuropske prometne mreže, uvođenje mjera željezničke i cestovne sigurnosti na mreži TEN-T, razvoj terminala koji omogućuju prijelaz s jedne na drugu vrstu prijevoza, i ublažavanje utjecaja zračnog prometa na okoliš. Planiran iznos doprinosa EU-a za predmetni cilj je 780.090.790 eura, iz Europskog fonda za regionalni razvoj i Kohezijskog fonda.  </w:t>
      </w:r>
    </w:p>
    <w:p w:rsidR="002E3202" w:rsidRDefault="00391FE7">
      <w:r>
        <w:t xml:space="preserve">Specifični cilj „Razvoj i jačanje održive, pametne i intermodalne nacionalne, regionalne i lokalne mobilnosti koja je otporna na klimatske promjene, među ostalim i poboljšanjem pristupa mreži TEN-T i prekograničnoj mobilnosti“ usmjeren je na otklanjanje negativnih učinaka prometa na okoliš ulaganjem u održive načine prijevoza, razvoj pametnog, povezanog i čistog prometnog sustava te izgradnju s time povezane infrastrukture, uvođenje mjera željezničke i cestovne sigurnosti, i izgradnju novih te nadogradnju postojećih cesta koje se koriste za pristup transeuropskoj prometnoj mreži.  Planiran iznos doprinosa EU-a za predmetni cilj je 199.909.211 eura, iz Europskog fonda za regionalni razvoj.  </w:t>
      </w:r>
    </w:p>
    <w:p w:rsidR="002E3202" w:rsidRDefault="00391FE7">
      <w:r>
        <w:t xml:space="preserve">Prioritetno područje „Jačanje digitalne povezivosti“ odnosno specifični cilj „Poboljšanje digitalne povezivosti“ usmjeren je na uvođenje mreža vrlo velikog kapaciteta (VHCN) na cijelom području Republike Hrvatske za sva kućanstva i javne namjene, u svrhu razvoja širokopojasnog pristupa i promicanja digitalne tranzicije. Ulaganja su planirana u područjima u kojima ne postoji dostatan komercijalni interes za ulaganja, tj. ruralnim područjima i područjima slabije gustoće naseljenosti. Njima se planira premostiti rastući jaz između pokrivenosti VHCN-om u ruralnim područjima Hrvatske i prosjeka EU-a. Planiran iznos doprinosa EU-a za predmetni cilj je 50.000.000 eura, iz Europskog fonda za regionalni razvoj.  </w:t>
      </w:r>
    </w:p>
    <w:p w:rsidR="002E3202" w:rsidRDefault="00391FE7">
      <w:r>
        <w:t>U okviru plana proračuna za 2024.-2026., za aktivnosti PKK ukupno je planirano za 2024. godinu 79.515.859 eura, za 2025. godinu 254.914.783 eura, a za 2026. godinu 235.920.987 eura.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35"/>
        <w:gridCol w:w="954"/>
        <w:gridCol w:w="935"/>
        <w:gridCol w:w="935"/>
        <w:gridCol w:w="935"/>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izvršenih isplata korisniku prije krajnjeg roka za plaćanje</w:t>
            </w:r>
          </w:p>
        </w:tc>
        <w:tc>
          <w:tcPr>
            <w:tcW w:w="2245" w:type="dxa"/>
            <w:vAlign w:val="top"/>
          </w:tcPr>
          <w:p w:rsidR="002E3202" w:rsidRDefault="00391FE7">
            <w:pPr>
              <w:pStyle w:val="CellColumn"/>
              <w:jc w:val="left"/>
            </w:pPr>
            <w:r>
              <w:rPr>
                <w:rFonts w:cs="Times New Roman"/>
              </w:rPr>
              <w:t>Udio izvršenih isplata korisniku prije krajnjeg roka za plaćanje u ukupnom broju izvršenih isplata</w:t>
            </w:r>
          </w:p>
        </w:tc>
        <w:tc>
          <w:tcPr>
            <w:tcW w:w="918" w:type="dxa"/>
          </w:tcPr>
          <w:p w:rsidR="002E3202" w:rsidRDefault="00391FE7">
            <w:pPr>
              <w:jc w:val="center"/>
            </w:pPr>
            <w:r>
              <w:t>%</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Interna evidencija MMPI</w:t>
            </w:r>
          </w:p>
        </w:tc>
        <w:tc>
          <w:tcPr>
            <w:tcW w:w="918" w:type="dxa"/>
          </w:tcPr>
          <w:p w:rsidR="002E3202" w:rsidRDefault="00391FE7">
            <w:pPr>
              <w:jc w:val="center"/>
            </w:pPr>
            <w:r>
              <w:t>95</w:t>
            </w:r>
          </w:p>
        </w:tc>
        <w:tc>
          <w:tcPr>
            <w:tcW w:w="918" w:type="dxa"/>
          </w:tcPr>
          <w:p w:rsidR="002E3202" w:rsidRDefault="00391FE7">
            <w:pPr>
              <w:jc w:val="center"/>
            </w:pPr>
            <w:r>
              <w:t>96</w:t>
            </w:r>
          </w:p>
        </w:tc>
        <w:tc>
          <w:tcPr>
            <w:tcW w:w="918" w:type="dxa"/>
          </w:tcPr>
          <w:p w:rsidR="002E3202" w:rsidRDefault="00391FE7">
            <w:pPr>
              <w:jc w:val="center"/>
            </w:pPr>
            <w:r>
              <w:t>97</w:t>
            </w:r>
          </w:p>
        </w:tc>
      </w:tr>
    </w:tbl>
    <w:p w:rsidR="002E3202" w:rsidRDefault="002E3202">
      <w:pPr>
        <w:jc w:val="left"/>
      </w:pPr>
    </w:p>
    <w:p w:rsidR="002E3202" w:rsidRDefault="00391FE7">
      <w:pPr>
        <w:pStyle w:val="Heading4"/>
      </w:pPr>
      <w:r>
        <w:t>T821080 FOND SOLIDARNOSTI EUROPSKE UNIJE-PODRUČJE PRIJEVOZA, POŠTA I TELEKOMUNIKACIJA</w:t>
      </w:r>
    </w:p>
    <w:p w:rsidR="002E3202" w:rsidRDefault="00391FE7">
      <w:pPr>
        <w:pStyle w:val="Heading8"/>
        <w:jc w:val="left"/>
      </w:pPr>
      <w:r>
        <w:t>Zakonske i druge pravne osnove</w:t>
      </w:r>
    </w:p>
    <w:p w:rsidR="002E3202" w:rsidRDefault="00391FE7">
      <w:r>
        <w:t xml:space="preserve">- 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Bjelovarsko-bilogorske županije i Koprivničko-križevačke županije, imenovanju i određivanju zaduženja nacionalnog koordinacijskog tijela, tijela odgovornih za provedbu financijskog doprinosa i neovisnog revizorskog tijela </w:t>
      </w:r>
    </w:p>
    <w:p w:rsidR="002E3202" w:rsidRDefault="00391FE7">
      <w:r>
        <w:t xml:space="preserve">- Odluka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w:t>
      </w:r>
    </w:p>
    <w:p w:rsidR="002E3202" w:rsidRDefault="00391FE7">
      <w:r>
        <w:t xml:space="preserve">- Odluka o provođenju aktivnosti vezanih za operacije koje se financiraju iz Fonda solidarnosti Europske unije iz djelokruga tijela odgovornih za provedbu financijskog doprinosa </w:t>
      </w:r>
    </w:p>
    <w:p w:rsidR="002E3202" w:rsidRDefault="00391FE7">
      <w:r>
        <w:t xml:space="preserve">- Odluka Vlade Republike Hrvatske o nastavku financiranja projekata započetih iz Fonda solidarnosti Europske unije iz sredstava državnog proračuna Republike Hrvatske od 28. lipnja 2023. </w:t>
      </w:r>
    </w:p>
    <w:p w:rsidR="002E3202" w:rsidRDefault="00391FE7">
      <w:r>
        <w:t>- Uputa Ministarstva prostornoga uređenja, graditeljstva i državne imovine o načinu financiranja projekata započetih iz Fonda solidarnosti Europske unije od 27. srpnja 2023</w:t>
      </w:r>
    </w:p>
    <w:tbl>
      <w:tblPr>
        <w:tblStyle w:val="StilTablice"/>
        <w:tblW w:w="10206" w:type="dxa"/>
        <w:jc w:val="center"/>
        <w:tblLook w:val="04A0" w:firstRow="1" w:lastRow="0" w:firstColumn="1" w:lastColumn="0" w:noHBand="0" w:noVBand="1"/>
      </w:tblPr>
      <w:tblGrid>
        <w:gridCol w:w="1471"/>
        <w:gridCol w:w="1573"/>
        <w:gridCol w:w="1583"/>
        <w:gridCol w:w="1549"/>
        <w:gridCol w:w="1530"/>
        <w:gridCol w:w="153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T821080</w:t>
            </w:r>
          </w:p>
        </w:tc>
        <w:tc>
          <w:tcPr>
            <w:tcW w:w="1632" w:type="dxa"/>
            <w:vAlign w:val="top"/>
          </w:tcPr>
          <w:p w:rsidR="002E3202" w:rsidRDefault="00391FE7">
            <w:pPr>
              <w:jc w:val="right"/>
            </w:pPr>
            <w:r>
              <w:t>42.258.174</w:t>
            </w:r>
          </w:p>
        </w:tc>
        <w:tc>
          <w:tcPr>
            <w:tcW w:w="1632" w:type="dxa"/>
            <w:vAlign w:val="top"/>
          </w:tcPr>
          <w:p w:rsidR="002E3202" w:rsidRDefault="00391FE7">
            <w:pPr>
              <w:jc w:val="right"/>
            </w:pPr>
            <w:r>
              <w:t>108.237.029</w:t>
            </w:r>
          </w:p>
        </w:tc>
        <w:tc>
          <w:tcPr>
            <w:tcW w:w="1632" w:type="dxa"/>
            <w:vAlign w:val="top"/>
          </w:tcPr>
          <w:p w:rsidR="002E3202" w:rsidRDefault="00391FE7">
            <w:pPr>
              <w:jc w:val="right"/>
            </w:pPr>
            <w:r>
              <w:t>502.000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0,5</w:t>
            </w:r>
          </w:p>
        </w:tc>
      </w:tr>
    </w:tbl>
    <w:p w:rsidR="002E3202" w:rsidRDefault="002E3202">
      <w:pPr>
        <w:jc w:val="left"/>
      </w:pPr>
    </w:p>
    <w:p w:rsidR="002E3202" w:rsidRDefault="00391FE7">
      <w:r>
        <w:t xml:space="preserve">Temeljem prethodno navedenih Odluka Vlade Republike Hrvatske o načinu raspodjele bespovratnih financijskih sredstava iz Fonda solidarnosti Europske unije (dalje: FSEU), ovo Ministarstvo je određeno kao tijelo odgovorno za provedbu financijskih doprinosa u području prijevoza, pošte i telekomunikacija. </w:t>
      </w:r>
    </w:p>
    <w:p w:rsidR="002E3202" w:rsidRDefault="00391FE7">
      <w:r>
        <w:t xml:space="preserve">Temeljem spomenutih odluka Vlade Republike Hrvatske, objavljeni su pozivi za dodjelu sredstava iz FSEU za financiranje sanacije šteta nastalih od potresa 20. ožujka te potresa 28. i 29. prosinca 2020. godine. Temeljem objavljenih poziva potpisano je ukupno 201 ugovor o dodjeli bespovratnih financijskih sredstava/Odluka o isplati ukupne vrijednosti 336,34 milijuna eura EU sredstava, od čega 59 ugovora/Odluka o isplati ukupne vrijednosti 194,20 milijuna eura EU sredstava za projekte sanacije šteta zagrebačkog potresa te 142 ugovora/Odluka o isplati ukupne vrijednosti 142,14 milijuna eura EU sredstava za projekte sanacije šteta petrinjskog potresa. </w:t>
      </w:r>
    </w:p>
    <w:p w:rsidR="002E3202" w:rsidRDefault="00391FE7">
      <w:r>
        <w:t>Korisnicima je od početka provedbe FSEU do sada isplaćeno 268,40 milijuna eura EU sredstava odnosno 80% ugovorenog iznosa. Obzirom na završetak provedbe FSEU (razdoblje prihvatljivosti troškova iz FSEU je do 30. lipnja 2023.), Vlada Republike Hrvatske donijela je Odluku o nastavku financiranja projekata započetih iz Fonda solidarnosti Europske unije iz sredstava državnog proračuna Republike, a Ministarstvo prostornoga uređenja, graditeljstva i državne imovine donijelo je Uputu o načinu financiranja projekata započetih iz Fonda solidarnosti Europske unije. Navedenim dokumentima omogućen je dovršetak projekata započetih iz FSEU, kod kojih je u tijeku provođenje ugovora o izvođenju radova, odnosno omogućeno je osiguranje sredstava u onom dijelu koji je potreban za završetak projekata iznad iznosa osiguranog iz FSEU. Slijedom navedenog, u okviru plana proračuna, za 2024. godinu planirano je ukupno 502.000 eura radi isplate završnih zahtjeva korisnika za nadoknadom sredstava odnosno prihvatljivih troškova korisnika plaćenih nakon 30. lipnja 2023.</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35"/>
        <w:gridCol w:w="954"/>
        <w:gridCol w:w="935"/>
        <w:gridCol w:w="935"/>
        <w:gridCol w:w="935"/>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izvršenih isplata korisniku prije krajnjeg roka za plaćanje</w:t>
            </w:r>
          </w:p>
        </w:tc>
        <w:tc>
          <w:tcPr>
            <w:tcW w:w="2245" w:type="dxa"/>
            <w:vAlign w:val="top"/>
          </w:tcPr>
          <w:p w:rsidR="002E3202" w:rsidRDefault="00391FE7">
            <w:pPr>
              <w:pStyle w:val="CellColumn"/>
              <w:jc w:val="left"/>
            </w:pPr>
            <w:r>
              <w:rPr>
                <w:rFonts w:cs="Times New Roman"/>
              </w:rPr>
              <w:t>Udio izvršenih isplata korisniku prije krajnjeg roka za plaćanje u ukupnom broju izvršenih isplata</w:t>
            </w:r>
          </w:p>
        </w:tc>
        <w:tc>
          <w:tcPr>
            <w:tcW w:w="918" w:type="dxa"/>
          </w:tcPr>
          <w:p w:rsidR="002E3202" w:rsidRDefault="00391FE7">
            <w:pPr>
              <w:jc w:val="center"/>
            </w:pPr>
            <w:r>
              <w:t>%</w:t>
            </w:r>
          </w:p>
        </w:tc>
        <w:tc>
          <w:tcPr>
            <w:tcW w:w="918" w:type="dxa"/>
          </w:tcPr>
          <w:p w:rsidR="002E3202" w:rsidRDefault="00391FE7">
            <w:pPr>
              <w:jc w:val="center"/>
            </w:pPr>
            <w:r>
              <w:t>57</w:t>
            </w:r>
          </w:p>
        </w:tc>
        <w:tc>
          <w:tcPr>
            <w:tcW w:w="918" w:type="dxa"/>
          </w:tcPr>
          <w:p w:rsidR="002E3202" w:rsidRDefault="00391FE7">
            <w:pPr>
              <w:pStyle w:val="CellColumn"/>
              <w:jc w:val="center"/>
            </w:pPr>
            <w:r>
              <w:rPr>
                <w:rFonts w:cs="Times New Roman"/>
              </w:rPr>
              <w:t>Interna evidencija MMPI</w:t>
            </w:r>
          </w:p>
        </w:tc>
        <w:tc>
          <w:tcPr>
            <w:tcW w:w="918" w:type="dxa"/>
          </w:tcPr>
          <w:p w:rsidR="002E3202" w:rsidRDefault="00391FE7">
            <w:pPr>
              <w:jc w:val="center"/>
            </w:pPr>
            <w:r>
              <w:t>57</w:t>
            </w:r>
          </w:p>
        </w:tc>
        <w:tc>
          <w:tcPr>
            <w:tcW w:w="918" w:type="dxa"/>
          </w:tcPr>
          <w:p w:rsidR="002E3202" w:rsidRDefault="00391FE7">
            <w:pPr>
              <w:jc w:val="center"/>
            </w:pPr>
            <w:r>
              <w:t>0</w:t>
            </w:r>
          </w:p>
        </w:tc>
        <w:tc>
          <w:tcPr>
            <w:tcW w:w="918" w:type="dxa"/>
          </w:tcPr>
          <w:p w:rsidR="002E3202" w:rsidRDefault="00391FE7">
            <w:pPr>
              <w:jc w:val="center"/>
            </w:pPr>
            <w:r>
              <w:t>0</w:t>
            </w:r>
          </w:p>
        </w:tc>
      </w:tr>
    </w:tbl>
    <w:p w:rsidR="002E3202" w:rsidRDefault="002E3202">
      <w:pPr>
        <w:jc w:val="left"/>
      </w:pPr>
    </w:p>
    <w:p w:rsidR="002E3202" w:rsidRDefault="00391FE7">
      <w:pPr>
        <w:pStyle w:val="Heading3"/>
      </w:pPr>
      <w:r>
        <w:rPr>
          <w:rFonts w:cs="Times New Roman"/>
        </w:rPr>
        <w:t>3112 INSPEKCIJSKI NADZOR CESTOVNOG PROMETA, CESTA I ŽIČARA</w:t>
      </w:r>
    </w:p>
    <w:tbl>
      <w:tblPr>
        <w:tblStyle w:val="StilTablice"/>
        <w:tblW w:w="10206" w:type="dxa"/>
        <w:jc w:val="center"/>
        <w:tblLook w:val="04A0" w:firstRow="1" w:lastRow="0" w:firstColumn="1" w:lastColumn="0" w:noHBand="0" w:noVBand="1"/>
      </w:tblPr>
      <w:tblGrid>
        <w:gridCol w:w="1432"/>
        <w:gridCol w:w="1556"/>
        <w:gridCol w:w="1562"/>
        <w:gridCol w:w="1562"/>
        <w:gridCol w:w="1562"/>
        <w:gridCol w:w="1562"/>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3112</w:t>
            </w:r>
          </w:p>
        </w:tc>
        <w:tc>
          <w:tcPr>
            <w:tcW w:w="1632" w:type="dxa"/>
          </w:tcPr>
          <w:p w:rsidR="002E3202" w:rsidRDefault="00391FE7">
            <w:pPr>
              <w:jc w:val="right"/>
            </w:pPr>
            <w:r>
              <w:t>626.418</w:t>
            </w:r>
          </w:p>
        </w:tc>
        <w:tc>
          <w:tcPr>
            <w:tcW w:w="1632" w:type="dxa"/>
          </w:tcPr>
          <w:p w:rsidR="002E3202" w:rsidRDefault="00391FE7">
            <w:pPr>
              <w:jc w:val="right"/>
            </w:pPr>
            <w:r>
              <w:t>1.376.973</w:t>
            </w:r>
          </w:p>
        </w:tc>
        <w:tc>
          <w:tcPr>
            <w:tcW w:w="1632" w:type="dxa"/>
          </w:tcPr>
          <w:p w:rsidR="002E3202" w:rsidRDefault="00391FE7">
            <w:pPr>
              <w:jc w:val="right"/>
            </w:pPr>
            <w:r>
              <w:t>1.362.400</w:t>
            </w:r>
          </w:p>
        </w:tc>
        <w:tc>
          <w:tcPr>
            <w:tcW w:w="1632" w:type="dxa"/>
          </w:tcPr>
          <w:p w:rsidR="002E3202" w:rsidRDefault="00391FE7">
            <w:pPr>
              <w:jc w:val="right"/>
            </w:pPr>
            <w:r>
              <w:t>1.362.400</w:t>
            </w:r>
          </w:p>
        </w:tc>
        <w:tc>
          <w:tcPr>
            <w:tcW w:w="1632" w:type="dxa"/>
          </w:tcPr>
          <w:p w:rsidR="002E3202" w:rsidRDefault="00391FE7">
            <w:pPr>
              <w:jc w:val="right"/>
            </w:pPr>
            <w:r>
              <w:t>1.356.000</w:t>
            </w:r>
          </w:p>
        </w:tc>
        <w:tc>
          <w:tcPr>
            <w:tcW w:w="510" w:type="dxa"/>
          </w:tcPr>
          <w:p w:rsidR="002E3202" w:rsidRDefault="00391FE7">
            <w:pPr>
              <w:jc w:val="right"/>
            </w:pPr>
            <w:r>
              <w:t>98,9</w:t>
            </w:r>
          </w:p>
        </w:tc>
      </w:tr>
    </w:tbl>
    <w:p w:rsidR="002E3202" w:rsidRDefault="002E3202">
      <w:pPr>
        <w:jc w:val="left"/>
      </w:pPr>
    </w:p>
    <w:p w:rsidR="002E3202" w:rsidRDefault="00391FE7">
      <w:pPr>
        <w:pStyle w:val="Heading8"/>
        <w:jc w:val="left"/>
      </w:pPr>
      <w:r>
        <w:t>Cilj 1. Unaprjeđenje kvalitete inspekcijskog nadzora cestovnog prometa, cesta i žičara</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03"/>
        <w:gridCol w:w="2215"/>
        <w:gridCol w:w="913"/>
        <w:gridCol w:w="918"/>
        <w:gridCol w:w="1203"/>
        <w:gridCol w:w="918"/>
        <w:gridCol w:w="918"/>
        <w:gridCol w:w="918"/>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ostvarenih mobilnih tehničkih pregleda od ukupno planiranih mobilnih tehničkih pregleda</w:t>
            </w:r>
          </w:p>
        </w:tc>
        <w:tc>
          <w:tcPr>
            <w:tcW w:w="2245" w:type="dxa"/>
            <w:vAlign w:val="top"/>
          </w:tcPr>
          <w:p w:rsidR="002E3202" w:rsidRDefault="00391FE7">
            <w:pPr>
              <w:pStyle w:val="CellColumn"/>
              <w:jc w:val="left"/>
            </w:pPr>
            <w:r>
              <w:rPr>
                <w:rFonts w:cs="Times New Roman"/>
              </w:rPr>
              <w:t>Kontinuiranim provođenjem inspekcijskog nadzora teretnih vozila i autobusa znatno će se unaprijediti razina tehničke ispravnosti, a time doprinijeti zdravlju i sigurnosti mobilnih radnika</w:t>
            </w:r>
          </w:p>
        </w:tc>
        <w:tc>
          <w:tcPr>
            <w:tcW w:w="918" w:type="dxa"/>
          </w:tcPr>
          <w:p w:rsidR="002E3202" w:rsidRDefault="00391FE7">
            <w:pPr>
              <w:jc w:val="center"/>
            </w:pPr>
            <w:r>
              <w:t>broj</w:t>
            </w:r>
          </w:p>
        </w:tc>
        <w:tc>
          <w:tcPr>
            <w:tcW w:w="918" w:type="dxa"/>
          </w:tcPr>
          <w:p w:rsidR="002E3202" w:rsidRDefault="00391FE7">
            <w:pPr>
              <w:jc w:val="center"/>
            </w:pPr>
            <w:r>
              <w:t>73</w:t>
            </w:r>
          </w:p>
        </w:tc>
        <w:tc>
          <w:tcPr>
            <w:tcW w:w="918" w:type="dxa"/>
          </w:tcPr>
          <w:p w:rsidR="002E3202" w:rsidRDefault="00391FE7">
            <w:pPr>
              <w:pStyle w:val="CellColumn"/>
              <w:jc w:val="center"/>
            </w:pPr>
            <w:r>
              <w:rPr>
                <w:rFonts w:cs="Times New Roman"/>
              </w:rPr>
              <w:t xml:space="preserve">Ministarstvo mora, prometa i infrastrukture  </w:t>
            </w:r>
          </w:p>
          <w:p w:rsidR="002E3202" w:rsidRDefault="00391FE7">
            <w:pPr>
              <w:pStyle w:val="CellColumn"/>
              <w:jc w:val="center"/>
            </w:pPr>
            <w:r>
              <w:rPr>
                <w:rFonts w:cs="Times New Roman"/>
              </w:rPr>
              <w:t>(Plan mobilnih tehničkih pregleda)</w:t>
            </w:r>
          </w:p>
        </w:tc>
        <w:tc>
          <w:tcPr>
            <w:tcW w:w="918" w:type="dxa"/>
          </w:tcPr>
          <w:p w:rsidR="002E3202" w:rsidRDefault="00391FE7">
            <w:pPr>
              <w:jc w:val="center"/>
            </w:pPr>
            <w:r>
              <w:t>75</w:t>
            </w:r>
          </w:p>
        </w:tc>
        <w:tc>
          <w:tcPr>
            <w:tcW w:w="918" w:type="dxa"/>
          </w:tcPr>
          <w:p w:rsidR="002E3202" w:rsidRDefault="00391FE7">
            <w:pPr>
              <w:jc w:val="center"/>
            </w:pPr>
            <w:r>
              <w:t>75</w:t>
            </w:r>
          </w:p>
        </w:tc>
        <w:tc>
          <w:tcPr>
            <w:tcW w:w="918" w:type="dxa"/>
          </w:tcPr>
          <w:p w:rsidR="002E3202" w:rsidRDefault="00391FE7">
            <w:pPr>
              <w:jc w:val="center"/>
            </w:pPr>
            <w:r>
              <w:t>75</w:t>
            </w:r>
          </w:p>
        </w:tc>
      </w:tr>
    </w:tbl>
    <w:p w:rsidR="002E3202" w:rsidRDefault="002E3202">
      <w:pPr>
        <w:jc w:val="left"/>
      </w:pPr>
    </w:p>
    <w:p w:rsidR="002E3202" w:rsidRDefault="00391FE7">
      <w:pPr>
        <w:pStyle w:val="Heading4"/>
      </w:pPr>
      <w:r>
        <w:t>K761028 RAZVOJ I UNAPRJEĐENJE SUSTAVA SIGURNOSTI I INSPEKCIJE CESTOVNOG PROMETA I CESTA</w:t>
      </w:r>
    </w:p>
    <w:p w:rsidR="002E3202" w:rsidRDefault="00391FE7">
      <w:pPr>
        <w:pStyle w:val="Heading8"/>
        <w:jc w:val="left"/>
      </w:pPr>
      <w:r>
        <w:t>Zakonske i druge pravne osnove</w:t>
      </w:r>
    </w:p>
    <w:p w:rsidR="002E3202" w:rsidRDefault="00391FE7">
      <w:r>
        <w:t xml:space="preserve">- Zakon o prijevozu u cestovnom prometu, članci 2. i 109.  </w:t>
      </w:r>
    </w:p>
    <w:p w:rsidR="002E3202" w:rsidRDefault="00391FE7">
      <w:r>
        <w:t xml:space="preserve">- Zakon o sigurnosti prometa na cestama, članak 1.a; članak 4., članak 153., stavak 3.; članak 154., stavak 5.; članak 236. i članak 259., stavak 1.  </w:t>
      </w:r>
    </w:p>
    <w:p w:rsidR="002E3202" w:rsidRDefault="00391FE7">
      <w:r>
        <w:t xml:space="preserve"> - Zakon o radnom vremenu, obveznim odmorima mobilnih radnika i uređajima za bilježenje u cestovnom prometu, članci 2., 31. i 32.; članak 33., stavci 5., 6., i 7.; članak 34., stavak 5. i članak 6.  </w:t>
      </w:r>
    </w:p>
    <w:p w:rsidR="002E3202" w:rsidRDefault="00391FE7">
      <w:r>
        <w:t xml:space="preserve">- Zakon o cestama, članci 1.a i 111.  </w:t>
      </w:r>
    </w:p>
    <w:p w:rsidR="002E3202" w:rsidRDefault="00391FE7">
      <w:r>
        <w:t xml:space="preserve">- Zakon o inspekciji cestovnog prometa i cesta, članci 11., 12., 34. i 37.  </w:t>
      </w:r>
    </w:p>
    <w:p w:rsidR="002E3202" w:rsidRDefault="00391FE7">
      <w:r>
        <w:t xml:space="preserve">- Zakon o prijevozu opasnih tvari, članci 3., 38. i 43.  </w:t>
      </w:r>
    </w:p>
    <w:p w:rsidR="002E3202" w:rsidRDefault="00391FE7">
      <w:r>
        <w:t xml:space="preserve">- ADR – Europski sporazum o međunarodnom cestovnom prijevozu opasnih tvari  </w:t>
      </w:r>
    </w:p>
    <w:p w:rsidR="002E3202" w:rsidRDefault="00391FE7">
      <w:r>
        <w:t xml:space="preserve">- Zakon o žičarama, članci 2., 26. i 27.   </w:t>
      </w:r>
    </w:p>
    <w:p w:rsidR="002E3202" w:rsidRDefault="00391FE7">
      <w:r>
        <w:t xml:space="preserve">- Pravilnik o obrascu iskaznice, obliku značke, opremi i službenoj odjeći inspektora cestovnog prometa i inspektora cesta, članci 17. i 18.  </w:t>
      </w:r>
    </w:p>
    <w:p w:rsidR="002E3202" w:rsidRDefault="00391FE7">
      <w:r>
        <w:t>- Pravilnik o označavanju službenih vozila inspekcije cestovnog prometa i cesta, članci 4., 5., 7. i 8.</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K761028</w:t>
            </w:r>
          </w:p>
        </w:tc>
        <w:tc>
          <w:tcPr>
            <w:tcW w:w="1632" w:type="dxa"/>
            <w:vAlign w:val="top"/>
          </w:tcPr>
          <w:p w:rsidR="002E3202" w:rsidRDefault="00391FE7">
            <w:pPr>
              <w:jc w:val="right"/>
            </w:pPr>
            <w:r>
              <w:t>626.418</w:t>
            </w:r>
          </w:p>
        </w:tc>
        <w:tc>
          <w:tcPr>
            <w:tcW w:w="1632" w:type="dxa"/>
            <w:vAlign w:val="top"/>
          </w:tcPr>
          <w:p w:rsidR="002E3202" w:rsidRDefault="00391FE7">
            <w:pPr>
              <w:jc w:val="right"/>
            </w:pPr>
            <w:r>
              <w:t>1.376.973</w:t>
            </w:r>
          </w:p>
        </w:tc>
        <w:tc>
          <w:tcPr>
            <w:tcW w:w="1632" w:type="dxa"/>
            <w:vAlign w:val="top"/>
          </w:tcPr>
          <w:p w:rsidR="002E3202" w:rsidRDefault="00391FE7">
            <w:pPr>
              <w:jc w:val="right"/>
            </w:pPr>
            <w:r>
              <w:t>1.362.400</w:t>
            </w:r>
          </w:p>
        </w:tc>
        <w:tc>
          <w:tcPr>
            <w:tcW w:w="1632" w:type="dxa"/>
            <w:vAlign w:val="top"/>
          </w:tcPr>
          <w:p w:rsidR="002E3202" w:rsidRDefault="00391FE7">
            <w:pPr>
              <w:jc w:val="right"/>
            </w:pPr>
            <w:r>
              <w:t>1.362.400</w:t>
            </w:r>
          </w:p>
        </w:tc>
        <w:tc>
          <w:tcPr>
            <w:tcW w:w="1632" w:type="dxa"/>
            <w:vAlign w:val="top"/>
          </w:tcPr>
          <w:p w:rsidR="002E3202" w:rsidRDefault="00391FE7">
            <w:pPr>
              <w:jc w:val="right"/>
            </w:pPr>
            <w:r>
              <w:t>1.356.000</w:t>
            </w:r>
          </w:p>
        </w:tc>
        <w:tc>
          <w:tcPr>
            <w:tcW w:w="510" w:type="dxa"/>
            <w:vAlign w:val="top"/>
          </w:tcPr>
          <w:p w:rsidR="002E3202" w:rsidRDefault="00391FE7">
            <w:pPr>
              <w:jc w:val="right"/>
            </w:pPr>
            <w:r>
              <w:t>98,9</w:t>
            </w:r>
          </w:p>
        </w:tc>
      </w:tr>
    </w:tbl>
    <w:p w:rsidR="002E3202" w:rsidRDefault="002E3202">
      <w:pPr>
        <w:jc w:val="left"/>
      </w:pPr>
    </w:p>
    <w:p w:rsidR="002E3202" w:rsidRDefault="00391FE7">
      <w:r>
        <w:t>U skladu s Uredbom (EU) br. 165/2014 Europskog Parlamenta i Vijeća i Direktivom 2006/22/EZ Europskog Parlamenta i Vijeća, a za potrebe inspekcijskih nadzora, potrebno je kontinuirano ulagati u opremanje i modernizaciju specijalnih uređaja, opreme i IT aplikacije. Također, sve države članice EU moraju se pobrinuti da su službenici za kontrolu na odgovarajući način osposobljeni za analizu zabilježenih podataka i provjeru tahografa kako bi se uspostavile učinkovite i usklađene aktivnosti inspekcijskih nadzora. Direktivom 2006/22/EZ Europskog parlamenta i Vijeća od država članica zahtijeva se provedba minimalnog broja provjera na cesti te provjera u tvrtkama. Europska Komisija je naznačila potrebu jačanja provjera i sankcija naročito za socijalno zakonodavstvo u poslovima cestovnog prijevoza i posebno na povećanju broja provjera radi poticanja sistematske razmjene podataka između država članica i radi usklađivanja poslova nadzora i poticanja osposobljavanja službenika odgovornih za provođenje zakona. U tu svrhu opremanje se provodi za nabavku opreme i uređaja, zaštitne i radne obuće i odjeće, informatičke opreme te informatičkih sustava neophodnih za rad Inspekcije. Također, bitno je istaknuti da se kroz Sporazum između MUP-a i MMPI-a, kroz Nacionalni plan sigurnosti cestovnog prometa, doznačuju sredstva s ciljem financiranja nabavke vozila, uređaja i opreme te nadogradnje i održavanja informatičkih sustava »SOTAH« i »CRIS«.</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Stupanj opremljenosti inspekcije adekvatnom opremom</w:t>
            </w:r>
          </w:p>
        </w:tc>
        <w:tc>
          <w:tcPr>
            <w:tcW w:w="2245" w:type="dxa"/>
            <w:vAlign w:val="top"/>
          </w:tcPr>
          <w:p w:rsidR="002E3202" w:rsidRDefault="00391FE7">
            <w:pPr>
              <w:pStyle w:val="CellColumn"/>
              <w:jc w:val="left"/>
            </w:pPr>
            <w:r>
              <w:rPr>
                <w:rFonts w:cs="Times New Roman"/>
              </w:rPr>
              <w:t>Nabava i nadogradnja adekvatne opreme te jačanje administrativnih kapaciteta omogućiti će ostvarenje godišnjeg plana ukupnog broja inspekcijskih pregleda radnih dana vozača u cestovnom prijevozu tereta i putnika, te nadzora cesta</w:t>
            </w:r>
          </w:p>
        </w:tc>
        <w:tc>
          <w:tcPr>
            <w:tcW w:w="918" w:type="dxa"/>
          </w:tcPr>
          <w:p w:rsidR="002E3202" w:rsidRDefault="00391FE7">
            <w:pPr>
              <w:jc w:val="center"/>
            </w:pPr>
            <w:r>
              <w:t>%</w:t>
            </w:r>
          </w:p>
        </w:tc>
        <w:tc>
          <w:tcPr>
            <w:tcW w:w="918" w:type="dxa"/>
          </w:tcPr>
          <w:p w:rsidR="002E3202" w:rsidRDefault="00391FE7">
            <w:pPr>
              <w:jc w:val="center"/>
            </w:pPr>
            <w:r>
              <w:t>94</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95</w:t>
            </w:r>
          </w:p>
        </w:tc>
        <w:tc>
          <w:tcPr>
            <w:tcW w:w="918" w:type="dxa"/>
          </w:tcPr>
          <w:p w:rsidR="002E3202" w:rsidRDefault="00391FE7">
            <w:pPr>
              <w:jc w:val="center"/>
            </w:pPr>
            <w:r>
              <w:t>96</w:t>
            </w:r>
          </w:p>
        </w:tc>
        <w:tc>
          <w:tcPr>
            <w:tcW w:w="918" w:type="dxa"/>
          </w:tcPr>
          <w:p w:rsidR="002E3202" w:rsidRDefault="00391FE7">
            <w:pPr>
              <w:jc w:val="center"/>
            </w:pPr>
            <w:r>
              <w:t>97</w:t>
            </w:r>
          </w:p>
        </w:tc>
      </w:tr>
    </w:tbl>
    <w:p w:rsidR="002E3202" w:rsidRDefault="002E3202">
      <w:pPr>
        <w:jc w:val="left"/>
      </w:pPr>
    </w:p>
    <w:p w:rsidR="002E3202" w:rsidRDefault="00391FE7">
      <w:pPr>
        <w:pStyle w:val="Heading3"/>
      </w:pPr>
      <w:r>
        <w:rPr>
          <w:rFonts w:cs="Times New Roman"/>
        </w:rPr>
        <w:t>3113 RAZVOJ SUSTAVA ZRAČNOG PROMETA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3113</w:t>
            </w:r>
          </w:p>
        </w:tc>
        <w:tc>
          <w:tcPr>
            <w:tcW w:w="1632" w:type="dxa"/>
          </w:tcPr>
          <w:p w:rsidR="002E3202" w:rsidRDefault="00391FE7">
            <w:pPr>
              <w:jc w:val="right"/>
            </w:pPr>
            <w:r>
              <w:t>21.614.173</w:t>
            </w:r>
          </w:p>
        </w:tc>
        <w:tc>
          <w:tcPr>
            <w:tcW w:w="1632" w:type="dxa"/>
          </w:tcPr>
          <w:p w:rsidR="002E3202" w:rsidRDefault="00391FE7">
            <w:pPr>
              <w:jc w:val="right"/>
            </w:pPr>
            <w:r>
              <w:t>28.720.715</w:t>
            </w:r>
          </w:p>
        </w:tc>
        <w:tc>
          <w:tcPr>
            <w:tcW w:w="1632" w:type="dxa"/>
          </w:tcPr>
          <w:p w:rsidR="002E3202" w:rsidRDefault="00391FE7">
            <w:pPr>
              <w:jc w:val="right"/>
            </w:pPr>
            <w:r>
              <w:t>26.016.380</w:t>
            </w:r>
          </w:p>
        </w:tc>
        <w:tc>
          <w:tcPr>
            <w:tcW w:w="1632" w:type="dxa"/>
          </w:tcPr>
          <w:p w:rsidR="002E3202" w:rsidRDefault="00391FE7">
            <w:pPr>
              <w:jc w:val="right"/>
            </w:pPr>
            <w:r>
              <w:t>25.521.254</w:t>
            </w:r>
          </w:p>
        </w:tc>
        <w:tc>
          <w:tcPr>
            <w:tcW w:w="1632" w:type="dxa"/>
          </w:tcPr>
          <w:p w:rsidR="002E3202" w:rsidRDefault="00391FE7">
            <w:pPr>
              <w:jc w:val="right"/>
            </w:pPr>
            <w:r>
              <w:t>27.821.254</w:t>
            </w:r>
          </w:p>
        </w:tc>
        <w:tc>
          <w:tcPr>
            <w:tcW w:w="510" w:type="dxa"/>
          </w:tcPr>
          <w:p w:rsidR="002E3202" w:rsidRDefault="00391FE7">
            <w:pPr>
              <w:jc w:val="right"/>
            </w:pPr>
            <w:r>
              <w:t>90,6</w:t>
            </w:r>
          </w:p>
        </w:tc>
      </w:tr>
    </w:tbl>
    <w:p w:rsidR="002E3202" w:rsidRDefault="002E3202">
      <w:pPr>
        <w:jc w:val="left"/>
      </w:pPr>
    </w:p>
    <w:p w:rsidR="002E3202" w:rsidRDefault="00391FE7">
      <w:pPr>
        <w:pStyle w:val="Heading8"/>
        <w:jc w:val="left"/>
      </w:pPr>
      <w:r>
        <w:t>Cilj 1. Razvijen sustav zračnog prometa</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09"/>
        <w:gridCol w:w="2209"/>
        <w:gridCol w:w="913"/>
        <w:gridCol w:w="918"/>
        <w:gridCol w:w="1203"/>
        <w:gridCol w:w="918"/>
        <w:gridCol w:w="918"/>
        <w:gridCol w:w="918"/>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podržanih (zatvorenih) nalaza utvrđenih aerodromima od strane Hrvatske agencije za civilno zrakoplovstvo (HACZ)</w:t>
            </w:r>
          </w:p>
        </w:tc>
        <w:tc>
          <w:tcPr>
            <w:tcW w:w="2245" w:type="dxa"/>
            <w:vAlign w:val="top"/>
          </w:tcPr>
          <w:p w:rsidR="002E3202" w:rsidRDefault="00391FE7">
            <w:pPr>
              <w:pStyle w:val="CellColumn"/>
              <w:jc w:val="left"/>
            </w:pPr>
            <w:r>
              <w:rPr>
                <w:rFonts w:cs="Times New Roman"/>
              </w:rPr>
              <w:t xml:space="preserve">Povećanjem broja podržanih (zatvorenih) nalaza utvrđenih aerodromima od strane Hrvatske agencije za civilno zrakoplovstvo (HACZ), povećava se razina sigurnosti i zaštite civilnog zračnog prometa, prometne infrastrukture i prometne usluge.   </w:t>
            </w:r>
          </w:p>
          <w:p w:rsidR="002E3202" w:rsidRDefault="00391FE7">
            <w:pPr>
              <w:pStyle w:val="CellColumn"/>
              <w:jc w:val="left"/>
            </w:pPr>
            <w:r>
              <w:rPr>
                <w:rFonts w:cs="Times New Roman"/>
              </w:rPr>
              <w:t>Napomena: radi se o godišnjoj vrijednosti</w:t>
            </w:r>
          </w:p>
        </w:tc>
        <w:tc>
          <w:tcPr>
            <w:tcW w:w="918" w:type="dxa"/>
          </w:tcPr>
          <w:p w:rsidR="002E3202" w:rsidRDefault="00391FE7">
            <w:pPr>
              <w:jc w:val="center"/>
            </w:pPr>
            <w:r>
              <w:t>broj</w:t>
            </w:r>
          </w:p>
        </w:tc>
        <w:tc>
          <w:tcPr>
            <w:tcW w:w="918" w:type="dxa"/>
          </w:tcPr>
          <w:p w:rsidR="002E3202" w:rsidRDefault="00391FE7">
            <w:pPr>
              <w:jc w:val="center"/>
            </w:pPr>
            <w:r>
              <w:t>8</w:t>
            </w:r>
          </w:p>
        </w:tc>
        <w:tc>
          <w:tcPr>
            <w:tcW w:w="918" w:type="dxa"/>
          </w:tcPr>
          <w:p w:rsidR="002E3202" w:rsidRDefault="00391FE7">
            <w:pPr>
              <w:pStyle w:val="CellColumn"/>
              <w:jc w:val="center"/>
            </w:pPr>
            <w:r>
              <w:rPr>
                <w:rFonts w:cs="Times New Roman"/>
              </w:rPr>
              <w:t xml:space="preserve">HACZ  </w:t>
            </w:r>
          </w:p>
          <w:p w:rsidR="002E3202" w:rsidRDefault="00391FE7">
            <w:pPr>
              <w:pStyle w:val="CellColumn"/>
              <w:jc w:val="center"/>
            </w:pPr>
            <w:r>
              <w:rPr>
                <w:rFonts w:cs="Times New Roman"/>
              </w:rPr>
              <w:t>Ministarstvo mora, prometa i infrastrukture</w:t>
            </w:r>
          </w:p>
        </w:tc>
        <w:tc>
          <w:tcPr>
            <w:tcW w:w="918" w:type="dxa"/>
          </w:tcPr>
          <w:p w:rsidR="002E3202" w:rsidRDefault="00391FE7">
            <w:pPr>
              <w:jc w:val="center"/>
            </w:pPr>
            <w:r>
              <w:t>9</w:t>
            </w:r>
          </w:p>
        </w:tc>
        <w:tc>
          <w:tcPr>
            <w:tcW w:w="918" w:type="dxa"/>
          </w:tcPr>
          <w:p w:rsidR="002E3202" w:rsidRDefault="00391FE7">
            <w:pPr>
              <w:jc w:val="center"/>
            </w:pPr>
            <w:r>
              <w:t>10</w:t>
            </w:r>
          </w:p>
        </w:tc>
        <w:tc>
          <w:tcPr>
            <w:tcW w:w="918" w:type="dxa"/>
          </w:tcPr>
          <w:p w:rsidR="002E3202" w:rsidRDefault="00391FE7">
            <w:pPr>
              <w:jc w:val="center"/>
            </w:pPr>
            <w:r>
              <w:t>11</w:t>
            </w:r>
          </w:p>
        </w:tc>
      </w:tr>
    </w:tbl>
    <w:p w:rsidR="002E3202" w:rsidRDefault="002E3202">
      <w:pPr>
        <w:jc w:val="left"/>
      </w:pPr>
    </w:p>
    <w:p w:rsidR="002E3202" w:rsidRDefault="00391FE7">
      <w:pPr>
        <w:pStyle w:val="Heading4"/>
      </w:pPr>
      <w:r>
        <w:t>A570001 SURADNJA S MEĐUNARODNIM ORGANIZACIJAMA TE PROVEDBA MJERA RAZVITKA ZRAČNOG PROMETA</w:t>
      </w:r>
    </w:p>
    <w:p w:rsidR="002E3202" w:rsidRDefault="00391FE7">
      <w:pPr>
        <w:pStyle w:val="Heading8"/>
        <w:jc w:val="left"/>
      </w:pPr>
      <w:r>
        <w:t>Zakonske i druge pravne osnove</w:t>
      </w:r>
    </w:p>
    <w:p w:rsidR="002E3202" w:rsidRDefault="00391FE7">
      <w:r>
        <w:t xml:space="preserve">- Zakon o zračnom prometu, članak 37, 58, 95, 114  </w:t>
      </w:r>
    </w:p>
    <w:p w:rsidR="002E3202" w:rsidRDefault="00391FE7">
      <w:r>
        <w:t xml:space="preserve">- Odluka o osnivanju Nacionalnog povjerenstva za upravljanje zračnim prostorom </w:t>
      </w:r>
    </w:p>
    <w:p w:rsidR="002E3202" w:rsidRDefault="00391FE7">
      <w:r>
        <w:t xml:space="preserve">- Odluka o osnivanju Nacionalnog povjerenstva za olakšice  </w:t>
      </w:r>
    </w:p>
    <w:p w:rsidR="002E3202" w:rsidRDefault="00391FE7">
      <w:r>
        <w:t xml:space="preserve">- Odluka o osnivanju Povjerenstva za upravljanje sigurnošću u zračnom prometu  </w:t>
      </w:r>
    </w:p>
    <w:p w:rsidR="002E3202" w:rsidRDefault="00391FE7">
      <w:r>
        <w:t xml:space="preserve">- Odluka o osnivanju Nacionalnog povjerenstva za zaštitu civilnog zračnog prometa   </w:t>
      </w:r>
    </w:p>
    <w:p w:rsidR="002E3202" w:rsidRDefault="00391FE7">
      <w:r>
        <w:t xml:space="preserve">- Čikaška konvencija (Convention on International Civil Aviation), potpisana u Chicagu 1944. godine te Protokol o važnim dopunama te konvencije potpisan u Montrealu iz 1980. godine - članarina Međunarodnoj organizaciji civilnog zrakoplovstva  ICAO (International Civil Aviation Organization)  </w:t>
      </w:r>
    </w:p>
    <w:p w:rsidR="002E3202" w:rsidRDefault="00391FE7">
      <w:r>
        <w:t xml:space="preserve">- Rezolucija o administrativnim i financijskim odnosima između ICAO i ECAC usvojena na 14. ECAC trijenalu kao i članak 14(2) Statuta ECAC-a - članarina Europskoj konferenciju civilnog zrakoplovstva ECAC (European Civil Aviation Conference)  </w:t>
      </w:r>
    </w:p>
    <w:p w:rsidR="002E3202" w:rsidRDefault="00391FE7">
      <w:r>
        <w:t>- Memorandum o sporazumijevanju od 22. ožujka 2016. potpisan u Utrechtu kojim je Republika Hrvatska postala osma članica ABIS grupe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A570001</w:t>
            </w:r>
          </w:p>
        </w:tc>
        <w:tc>
          <w:tcPr>
            <w:tcW w:w="1632" w:type="dxa"/>
            <w:vAlign w:val="top"/>
          </w:tcPr>
          <w:p w:rsidR="002E3202" w:rsidRDefault="00391FE7">
            <w:pPr>
              <w:jc w:val="right"/>
            </w:pPr>
            <w:r>
              <w:t>83.704</w:t>
            </w:r>
          </w:p>
        </w:tc>
        <w:tc>
          <w:tcPr>
            <w:tcW w:w="1632" w:type="dxa"/>
            <w:vAlign w:val="top"/>
          </w:tcPr>
          <w:p w:rsidR="002E3202" w:rsidRDefault="00391FE7">
            <w:pPr>
              <w:jc w:val="right"/>
            </w:pPr>
            <w:r>
              <w:t>119.347</w:t>
            </w:r>
          </w:p>
        </w:tc>
        <w:tc>
          <w:tcPr>
            <w:tcW w:w="1632" w:type="dxa"/>
            <w:vAlign w:val="top"/>
          </w:tcPr>
          <w:p w:rsidR="002E3202" w:rsidRDefault="00391FE7">
            <w:pPr>
              <w:jc w:val="right"/>
            </w:pPr>
            <w:r>
              <w:t>138.800</w:t>
            </w:r>
          </w:p>
        </w:tc>
        <w:tc>
          <w:tcPr>
            <w:tcW w:w="1632" w:type="dxa"/>
            <w:vAlign w:val="top"/>
          </w:tcPr>
          <w:p w:rsidR="002E3202" w:rsidRDefault="00391FE7">
            <w:pPr>
              <w:jc w:val="right"/>
            </w:pPr>
            <w:r>
              <w:t>138.800</w:t>
            </w:r>
          </w:p>
        </w:tc>
        <w:tc>
          <w:tcPr>
            <w:tcW w:w="1632" w:type="dxa"/>
            <w:vAlign w:val="top"/>
          </w:tcPr>
          <w:p w:rsidR="002E3202" w:rsidRDefault="00391FE7">
            <w:pPr>
              <w:jc w:val="right"/>
            </w:pPr>
            <w:r>
              <w:t>138.800</w:t>
            </w:r>
          </w:p>
        </w:tc>
        <w:tc>
          <w:tcPr>
            <w:tcW w:w="510" w:type="dxa"/>
            <w:vAlign w:val="top"/>
          </w:tcPr>
          <w:p w:rsidR="002E3202" w:rsidRDefault="00391FE7">
            <w:pPr>
              <w:jc w:val="right"/>
            </w:pPr>
            <w:r>
              <w:t>116,3</w:t>
            </w:r>
          </w:p>
        </w:tc>
      </w:tr>
    </w:tbl>
    <w:p w:rsidR="002E3202" w:rsidRDefault="002E3202">
      <w:pPr>
        <w:jc w:val="left"/>
      </w:pPr>
    </w:p>
    <w:p w:rsidR="002E3202" w:rsidRDefault="00391FE7">
      <w:r>
        <w:t xml:space="preserve">Ova aktivnost provodi se svake godine. Suradnja s međunarodnim organizacijama i provedba mjera razvitka zračnog prometa ima važnu ulogu za unapređenje i razvitak zračnog prometa u Republici Hrvatskoj, a kako bi zračni promet mogao u cijelosti iskoristiti svoje potencijale te ostvariti cilj prometne politike Republike Hrvatske, usklađene sa onima u Europskoj Uniji. Stoga je važno da zrakoplovne vlasti Republike Hrvatske sudjeluju u radu upravljačkih i radnih tijela (ICAO – Međunarodna organizacija za civilno zrakoplovstvo, ECAC – Europska konferencija za civilno zrakoplovstvo, EASA – Europska agencija za sigurnost zračnog prometa, EUROCONTROL – Europska agencija za sigurnost zračne plovidbe) kao i stručnih odbora kao što je npr. Single European Sky Committee i radnih skupina Vijeća Europske unije, te na taj način prate razvoj ključnih svjetskih i europskih projekata i strategija kao i razvoj zakonodavnog okvira u području zračnog prometa.  </w:t>
      </w:r>
    </w:p>
    <w:p w:rsidR="002E3202" w:rsidRDefault="00391FE7">
      <w:r>
        <w:t xml:space="preserve">Proračunska sredstva na ovoj aktivnosti planirana su za podmirenje obveza za članarine u međunarodnim organizacijama civilnog zrakoplovstva, kojih je Republika Hrvatska punopravni član (ICAO, ECAC, ABIS), za isplatu naknade članovima za rad u 4 (četiri) nacionalna povjerenstva, za nabavu stručne literature, usluge interneta (ICAO dokumentacija - licenca) te za intelektualne usluge.  </w:t>
      </w:r>
    </w:p>
    <w:p w:rsidR="002E3202" w:rsidRDefault="00391FE7">
      <w:r>
        <w:t>Iznos potrebnih financijskih sredstva za isplatu naknade članovima za rad u 4 (četiri) nacionalna povjerenstva u razdoblju od 2024. do 2026. godine, planiran je u skladu s odlukama Vlade Republike Hrvatske o osnivanju nacionalnih povjerenstava tj. prema broju imenovanih članova u sva četiri povjerenstva te iznosu naknade članovima za rad u povjerenstvima, koji je određen istim odlukama te koji iznosi (bruto 8.000 eura/godišnje). Potrebna sredstva za plaćanje međunarodnih članarina planirana su u skladu s iznosom obveza za međunarodne članarine iz proteklih godina (ICAO, ECAC i ABIS) te je procijenjeno da bi iznos od 106.000 eura/godišnje bio dostatan za plaćanje te tri međunarodne članarine i u ovom planskom razdoblju. Na temelju nastalih troškova za nabavu stručne literature, usluge interneta (ICAO dokumentacija - licenca) te za intelektualne usluge iz prethodnih godina, procjenjuje se da će iznos od 24.800 eura/godišnje biti dostatan za podmirenje istih troškova i u ovom planskom razdoblju.</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sastanaka upravljačkih i radnih tijela međunarodnih organizacija nadležnih za civilno zrakoplovstvo (ICAO, ECAC, EASA, EUROCONTROL) te stručnih odbora na kojima su sudjelovali predstavnici MMPI</w:t>
            </w:r>
          </w:p>
        </w:tc>
        <w:tc>
          <w:tcPr>
            <w:tcW w:w="2245" w:type="dxa"/>
            <w:vAlign w:val="top"/>
          </w:tcPr>
          <w:p w:rsidR="002E3202" w:rsidRDefault="00391FE7">
            <w:pPr>
              <w:pStyle w:val="CellColumn"/>
              <w:jc w:val="left"/>
            </w:pPr>
            <w:r>
              <w:rPr>
                <w:rFonts w:cs="Times New Roman"/>
              </w:rPr>
              <w:t xml:space="preserve">Povećanjem broja sastanaka upravljačkih i radnih tijela međunarodnih organizacija nadležnih za civilno zrakoplovstvo (ICAO, ECAC, EASA, EUROCONTROL) te stručnih odbora na kojima  su sudjelovali predstavnici MMPI, postiže se unapređenje praćenja  ključnih svjetskih i europskih projekata i strategija, razvoj zakonodavnog okvira u području zračnog prometa kao i implementacija međunarodnih i pravnih obveza sukladno utvrđenim rokovima  </w:t>
            </w:r>
          </w:p>
          <w:p w:rsidR="002E3202" w:rsidRDefault="00391FE7">
            <w:pPr>
              <w:pStyle w:val="CellColumn"/>
              <w:jc w:val="left"/>
            </w:pPr>
            <w:r>
              <w:rPr>
                <w:rFonts w:cs="Times New Roman"/>
              </w:rPr>
              <w:t xml:space="preserve">  </w:t>
            </w:r>
          </w:p>
          <w:p w:rsidR="002E3202" w:rsidRDefault="00391FE7">
            <w:pPr>
              <w:pStyle w:val="CellColumn"/>
              <w:jc w:val="left"/>
            </w:pPr>
            <w:r>
              <w:rPr>
                <w:rFonts w:cs="Times New Roman"/>
              </w:rPr>
              <w:t>Napomena: Radi se o godišnjoj vrijednosti</w:t>
            </w:r>
          </w:p>
        </w:tc>
        <w:tc>
          <w:tcPr>
            <w:tcW w:w="918" w:type="dxa"/>
          </w:tcPr>
          <w:p w:rsidR="002E3202" w:rsidRDefault="00391FE7">
            <w:pPr>
              <w:jc w:val="center"/>
            </w:pPr>
            <w:r>
              <w:t>Broj</w:t>
            </w:r>
          </w:p>
        </w:tc>
        <w:tc>
          <w:tcPr>
            <w:tcW w:w="918" w:type="dxa"/>
          </w:tcPr>
          <w:p w:rsidR="002E3202" w:rsidRDefault="00391FE7">
            <w:pPr>
              <w:jc w:val="center"/>
            </w:pPr>
            <w:r>
              <w:t>6</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7</w:t>
            </w:r>
          </w:p>
        </w:tc>
        <w:tc>
          <w:tcPr>
            <w:tcW w:w="918" w:type="dxa"/>
          </w:tcPr>
          <w:p w:rsidR="002E3202" w:rsidRDefault="00391FE7">
            <w:pPr>
              <w:jc w:val="center"/>
            </w:pPr>
            <w:r>
              <w:t>8</w:t>
            </w:r>
          </w:p>
        </w:tc>
        <w:tc>
          <w:tcPr>
            <w:tcW w:w="918" w:type="dxa"/>
          </w:tcPr>
          <w:p w:rsidR="002E3202" w:rsidRDefault="00391FE7">
            <w:pPr>
              <w:jc w:val="center"/>
            </w:pPr>
            <w:r>
              <w:t>9</w:t>
            </w:r>
          </w:p>
        </w:tc>
      </w:tr>
    </w:tbl>
    <w:p w:rsidR="002E3202" w:rsidRDefault="002E3202">
      <w:pPr>
        <w:jc w:val="left"/>
      </w:pPr>
    </w:p>
    <w:p w:rsidR="002E3202" w:rsidRDefault="00391FE7">
      <w:pPr>
        <w:pStyle w:val="Heading4"/>
      </w:pPr>
      <w:r>
        <w:t>A570249 GORSKE SLUŽBE SPAŠAVANJA</w:t>
      </w:r>
    </w:p>
    <w:p w:rsidR="002E3202" w:rsidRDefault="00391FE7">
      <w:pPr>
        <w:pStyle w:val="Heading8"/>
        <w:jc w:val="left"/>
      </w:pPr>
      <w:r>
        <w:t>Zakonske i druge pravne osnove</w:t>
      </w:r>
    </w:p>
    <w:p w:rsidR="002E3202" w:rsidRDefault="00391FE7">
      <w:r>
        <w:t>- Sporazum o dugoročnoj suradnji u provedbi programa aktivnosti traganja i spašavanja na nepristupačnim prostorima izvan gradova i javnih prometnica od 14. listopada 2003. godine, zaključen između Ministarstva i Hrvatske gorske službe spašavanja (HGSS), slijedom kojega se sklapaju godišnji ugovori.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A570249</w:t>
            </w:r>
          </w:p>
        </w:tc>
        <w:tc>
          <w:tcPr>
            <w:tcW w:w="1632" w:type="dxa"/>
            <w:vAlign w:val="top"/>
          </w:tcPr>
          <w:p w:rsidR="002E3202" w:rsidRDefault="00391FE7">
            <w:pPr>
              <w:jc w:val="right"/>
            </w:pPr>
            <w:r>
              <w:t>66.353</w:t>
            </w:r>
          </w:p>
        </w:tc>
        <w:tc>
          <w:tcPr>
            <w:tcW w:w="1632" w:type="dxa"/>
            <w:vAlign w:val="top"/>
          </w:tcPr>
          <w:p w:rsidR="002E3202" w:rsidRDefault="00391FE7">
            <w:pPr>
              <w:jc w:val="right"/>
            </w:pPr>
            <w:r>
              <w:t>66.362</w:t>
            </w:r>
          </w:p>
        </w:tc>
        <w:tc>
          <w:tcPr>
            <w:tcW w:w="1632" w:type="dxa"/>
            <w:vAlign w:val="top"/>
          </w:tcPr>
          <w:p w:rsidR="002E3202" w:rsidRDefault="00391FE7">
            <w:pPr>
              <w:jc w:val="right"/>
            </w:pPr>
            <w:r>
              <w:t>83.300</w:t>
            </w:r>
          </w:p>
        </w:tc>
        <w:tc>
          <w:tcPr>
            <w:tcW w:w="1632" w:type="dxa"/>
            <w:vAlign w:val="top"/>
          </w:tcPr>
          <w:p w:rsidR="002E3202" w:rsidRDefault="00391FE7">
            <w:pPr>
              <w:jc w:val="right"/>
            </w:pPr>
            <w:r>
              <w:t>66.300</w:t>
            </w:r>
          </w:p>
        </w:tc>
        <w:tc>
          <w:tcPr>
            <w:tcW w:w="1632" w:type="dxa"/>
            <w:vAlign w:val="top"/>
          </w:tcPr>
          <w:p w:rsidR="002E3202" w:rsidRDefault="00391FE7">
            <w:pPr>
              <w:jc w:val="right"/>
            </w:pPr>
            <w:r>
              <w:t>66.300</w:t>
            </w:r>
          </w:p>
        </w:tc>
        <w:tc>
          <w:tcPr>
            <w:tcW w:w="510" w:type="dxa"/>
            <w:vAlign w:val="top"/>
          </w:tcPr>
          <w:p w:rsidR="002E3202" w:rsidRDefault="00391FE7">
            <w:pPr>
              <w:jc w:val="right"/>
            </w:pPr>
            <w:r>
              <w:t>125,5</w:t>
            </w:r>
          </w:p>
        </w:tc>
      </w:tr>
    </w:tbl>
    <w:p w:rsidR="002E3202" w:rsidRDefault="002E3202">
      <w:pPr>
        <w:jc w:val="left"/>
      </w:pPr>
    </w:p>
    <w:p w:rsidR="002E3202" w:rsidRDefault="00391FE7">
      <w:r>
        <w:t xml:space="preserve">Ova aktivnost provodi se svake godine.  Kroz ovu aktivnost provode se radnje vezane uz stvaranje uvjeta za kvalitetno traganje i spašavanje koje se provodi radi minimiziranja štetnih posljedica u slučaju incidenta te zaštite života i imovine u prometu. Hrvatska gorska služba spašavanja (HGSS) jedina je udruga u Republici Hrvatskoj koja posjeduje posebna znanja i vještine tj. udruga koja je operativno sposobna za rad na području traganja i spašavanja na nepristupačnim prostorima izvan gradova i javnih prometnica. Navedenim Sporazumom HGSS se obvezuje da će na poziv Ministarstva intervenirati u svim slučajevima kada dođe do prometne nesreće kod svih vidova prometa ili sumnje da je do nesreće došlo na nepristupačnim terenima i u situacijama kada treba primijeniti posebno znanje, vještinu i specijalnu opremu za spašavanje koju posjeduje HGSS.  </w:t>
      </w:r>
    </w:p>
    <w:p w:rsidR="002E3202" w:rsidRDefault="00391FE7">
      <w:r>
        <w:t xml:space="preserve">Planiranim proračunskim sredstvima podržava se dio godišnjih aktivnosti HGSS-a iz cjelovitog godišnjeg Programa aktivnosti u provedbi priprema za zadaće traganja i spašavanja na nepristupačnim prostorima te zaštite i spašavanja života, sprječavanje nesreća i unapređenja sigurnosti, a u skladu sa Sporazumom o dugoročnoj suradnji.  </w:t>
      </w:r>
    </w:p>
    <w:p w:rsidR="002E3202" w:rsidRDefault="00391FE7">
      <w:r>
        <w:t>Iznos potrebnih financijskih sredstva za provedbu ove aktivnosti u ovom planskom razdoblju, temelji se na iznosima sredstava koji se osiguravao u državnom proračunu u prethodnim godinama te je procijenjeno da bi iznos od 83.300 eura bio dostatan  za provedbu ove aktivnosti u 2024. godini te iznos od 66.300 eura/godišnje za razdoblje od 2025. do 2026. godine.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podržanih aktivnosti HGSS-a iz cjelovitog godišnjeg programa aktivnosti u provedbi priprema za zadaće traganja i spašavanja na nepristupačnim prostorima</w:t>
            </w:r>
          </w:p>
        </w:tc>
        <w:tc>
          <w:tcPr>
            <w:tcW w:w="2245" w:type="dxa"/>
            <w:vAlign w:val="top"/>
          </w:tcPr>
          <w:p w:rsidR="002E3202" w:rsidRDefault="00391FE7">
            <w:pPr>
              <w:pStyle w:val="CellColumn"/>
              <w:jc w:val="left"/>
            </w:pPr>
            <w:r>
              <w:rPr>
                <w:rFonts w:cs="Times New Roman"/>
              </w:rPr>
              <w:t xml:space="preserve">Očuvanjem broja podržanih aktivnosti HGSS-a  iz cjelovitog godišnjeg programa aktivnosti u provedbi priprema za zadaće traganja i spašavanja na nepristupačnim prostorima, stvaraju se uvjeti za kvalitetno traganje i spašavanje u  prometu na nepristupačnim prostorima unutar RH  </w:t>
            </w:r>
          </w:p>
          <w:p w:rsidR="002E3202" w:rsidRDefault="00391FE7">
            <w:pPr>
              <w:pStyle w:val="CellColumn"/>
              <w:jc w:val="left"/>
            </w:pPr>
            <w:r>
              <w:rPr>
                <w:rFonts w:cs="Times New Roman"/>
              </w:rPr>
              <w:t>Napomena: Radi se o godišnjoj vrijednosti</w:t>
            </w:r>
          </w:p>
        </w:tc>
        <w:tc>
          <w:tcPr>
            <w:tcW w:w="918" w:type="dxa"/>
          </w:tcPr>
          <w:p w:rsidR="002E3202" w:rsidRDefault="00391FE7">
            <w:pPr>
              <w:jc w:val="center"/>
            </w:pPr>
            <w:r>
              <w:t>broj</w:t>
            </w:r>
          </w:p>
        </w:tc>
        <w:tc>
          <w:tcPr>
            <w:tcW w:w="918" w:type="dxa"/>
          </w:tcPr>
          <w:p w:rsidR="002E3202" w:rsidRDefault="00391FE7">
            <w:pPr>
              <w:jc w:val="center"/>
            </w:pPr>
            <w:r>
              <w:t>2</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3</w:t>
            </w:r>
          </w:p>
        </w:tc>
        <w:tc>
          <w:tcPr>
            <w:tcW w:w="918" w:type="dxa"/>
          </w:tcPr>
          <w:p w:rsidR="002E3202" w:rsidRDefault="00391FE7">
            <w:pPr>
              <w:jc w:val="center"/>
            </w:pPr>
            <w:r>
              <w:t>3</w:t>
            </w:r>
          </w:p>
        </w:tc>
        <w:tc>
          <w:tcPr>
            <w:tcW w:w="918" w:type="dxa"/>
          </w:tcPr>
          <w:p w:rsidR="002E3202" w:rsidRDefault="00391FE7">
            <w:pPr>
              <w:jc w:val="center"/>
            </w:pPr>
            <w:r>
              <w:t>4</w:t>
            </w:r>
          </w:p>
        </w:tc>
      </w:tr>
    </w:tbl>
    <w:p w:rsidR="002E3202" w:rsidRDefault="002E3202">
      <w:pPr>
        <w:jc w:val="left"/>
      </w:pPr>
    </w:p>
    <w:p w:rsidR="002E3202" w:rsidRDefault="00391FE7">
      <w:pPr>
        <w:pStyle w:val="Heading4"/>
      </w:pPr>
      <w:r>
        <w:t>A570333 OSIGURANJE SIGURNOSNO PROMETNIH STANDARDA U ZRAČNIM LUKAMA RH</w:t>
      </w:r>
    </w:p>
    <w:p w:rsidR="002E3202" w:rsidRDefault="00391FE7">
      <w:pPr>
        <w:pStyle w:val="Heading8"/>
        <w:jc w:val="left"/>
      </w:pPr>
      <w:r>
        <w:t>Zakonske i druge pravne osnove</w:t>
      </w:r>
    </w:p>
    <w:p w:rsidR="002E3202" w:rsidRDefault="00391FE7">
      <w:r>
        <w:t xml:space="preserve">- Zakon o zračnom prometu, članak 41a   </w:t>
      </w:r>
    </w:p>
    <w:p w:rsidR="002E3202" w:rsidRDefault="00391FE7">
      <w:r>
        <w:t xml:space="preserve">- Zakon o zračnim lukama  </w:t>
      </w:r>
    </w:p>
    <w:p w:rsidR="002E3202" w:rsidRDefault="00391FE7">
      <w:r>
        <w:t xml:space="preserve">- Nacionalni program sigurnosti u zračnom prometu   </w:t>
      </w:r>
    </w:p>
    <w:p w:rsidR="002E3202" w:rsidRDefault="00391FE7">
      <w:r>
        <w:t xml:space="preserve">- Nacionalni program zaštite civilnog zračnog prometa, koji je Vlada Republike Hrvatske donijela na sjednici održanoj 24. svibnja 2018.   </w:t>
      </w:r>
    </w:p>
    <w:p w:rsidR="002E3202" w:rsidRDefault="00391FE7">
      <w:r>
        <w:t>- Dodatak 14 Čikaškoj konvenciji (standardi sigurnosti na aerodromima)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A570333</w:t>
            </w:r>
          </w:p>
        </w:tc>
        <w:tc>
          <w:tcPr>
            <w:tcW w:w="1632" w:type="dxa"/>
            <w:vAlign w:val="top"/>
          </w:tcPr>
          <w:p w:rsidR="002E3202" w:rsidRDefault="00391FE7">
            <w:pPr>
              <w:jc w:val="right"/>
            </w:pPr>
            <w:r>
              <w:t>4.657.841</w:t>
            </w:r>
          </w:p>
        </w:tc>
        <w:tc>
          <w:tcPr>
            <w:tcW w:w="1632" w:type="dxa"/>
            <w:vAlign w:val="top"/>
          </w:tcPr>
          <w:p w:rsidR="002E3202" w:rsidRDefault="00391FE7">
            <w:pPr>
              <w:jc w:val="right"/>
            </w:pPr>
            <w:r>
              <w:t>8.535.452</w:t>
            </w:r>
          </w:p>
        </w:tc>
        <w:tc>
          <w:tcPr>
            <w:tcW w:w="1632" w:type="dxa"/>
            <w:vAlign w:val="top"/>
          </w:tcPr>
          <w:p w:rsidR="002E3202" w:rsidRDefault="00391FE7">
            <w:pPr>
              <w:jc w:val="right"/>
            </w:pPr>
            <w:r>
              <w:t>7.960.000</w:t>
            </w:r>
          </w:p>
        </w:tc>
        <w:tc>
          <w:tcPr>
            <w:tcW w:w="1632" w:type="dxa"/>
            <w:vAlign w:val="top"/>
          </w:tcPr>
          <w:p w:rsidR="002E3202" w:rsidRDefault="00391FE7">
            <w:pPr>
              <w:jc w:val="right"/>
            </w:pPr>
            <w:r>
              <w:t>5.640.000</w:t>
            </w:r>
          </w:p>
        </w:tc>
        <w:tc>
          <w:tcPr>
            <w:tcW w:w="1632" w:type="dxa"/>
            <w:vAlign w:val="top"/>
          </w:tcPr>
          <w:p w:rsidR="002E3202" w:rsidRDefault="00391FE7">
            <w:pPr>
              <w:jc w:val="right"/>
            </w:pPr>
            <w:r>
              <w:t>7.920.000</w:t>
            </w:r>
          </w:p>
        </w:tc>
        <w:tc>
          <w:tcPr>
            <w:tcW w:w="510" w:type="dxa"/>
            <w:vAlign w:val="top"/>
          </w:tcPr>
          <w:p w:rsidR="002E3202" w:rsidRDefault="00391FE7">
            <w:pPr>
              <w:jc w:val="right"/>
            </w:pPr>
            <w:r>
              <w:t>93,3</w:t>
            </w:r>
          </w:p>
        </w:tc>
      </w:tr>
    </w:tbl>
    <w:p w:rsidR="002E3202" w:rsidRDefault="002E3202">
      <w:pPr>
        <w:jc w:val="left"/>
      </w:pPr>
    </w:p>
    <w:p w:rsidR="002E3202" w:rsidRDefault="00391FE7">
      <w:r>
        <w:t xml:space="preserve">Ova aktivnost provodi se svake godine, budući je Republika Hrvatska, kao većinski vlasnik zračnih luka, dužna  ispuniti zahtjeve za povećanim zaštitnim i sigurnosnim mjerama na svim aerodromima u zemlji, sukladno obvezama koje proizlaze iz članstva Republike Hrvatske u međunarodnim organizacijama za civilni zračni promet (ICAO, ECAC, EUROCONTROL i dr.). Mjere obuhvaćaju osiguranje nužnih tehnoloških i sigurnosno-prometnih unapređenja koje se prvenstveno odnose na osiguranje standarda sigurnosti i zaštite na aerodromima s ciljem smanjenja opasnosti i smanjenja mogućnosti nastanka nesreća u zračnom prometu. </w:t>
      </w:r>
    </w:p>
    <w:p w:rsidR="002E3202" w:rsidRDefault="00391FE7">
      <w:r>
        <w:t xml:space="preserve">Sredstvima sa ove aktivnosti podržavaju se mjere (zahtjevi) aerodroma koji se odnose na nabavu sigurnosne i zaštitne opreme kao i izvođenje radova na aerodromskoj infrastrukturi koji su od važnosti za siguran prihvat zrakoplova i putnika na aerodromima. Prioritetni cilj ove aktivnosti je zatvaranju nalaza koje Hrvatska agencija za civilno zrakoplovstvo (HACZ) utvrdi aerodromima provođenjem korektivnih mjera koje se odnose na stanje sigurnosti na aerodromima sukladno standardima sigurnosti propisanim u Dodatku 14 Čikaškoj konvenciji te nalaza koji se odnose i na ispunjenje ostalih zahtjeva za povećanim zaštitnim i sigurnosnim mjerama na aerodromima u zemlji.  </w:t>
      </w:r>
    </w:p>
    <w:p w:rsidR="002E3202" w:rsidRDefault="00391FE7">
      <w:r>
        <w:t xml:space="preserve">Financijska sredstva za provedbu ove aktivnosti za razdoblje od  2024. do 2026. godine planirana su temeljem podataka zaprimljenih od strane zračnih luka o broju (mjera) koje je nužno provesti u ovom planskom razdoblju. U planiranom razdoblju provodit će se mjere koje se odnose na infrastrukturu zračnih luka (Pula, Rijeka, Zadar, Osijek, Brač, Mali Lošinj) te je procijenjeno da bi iznos od 6.500.000  eura bio dostatan za provedbu ove aktivnosti u 2024. godini, budući da je planirano značajnije ulaganje u rekonstrukciju putničkog terminala Zračne luke Osijek, koji će osigurati potrebe ulaska putnika u Schengen. Za provedbu ove aktivnosti u 2025. i 2026. godini procijenjeno je da bi iznos od 4.200.000 eura bio dostatan u 2025. godini te iznos od 6.500.000 eura u 2026. godini. </w:t>
      </w:r>
    </w:p>
    <w:p w:rsidR="002E3202" w:rsidRDefault="00391FE7">
      <w:r>
        <w:t xml:space="preserve">Na istoj aktivnosti planiraju se i sredstva koja su namijenjena za provedbu mjere očuvanja otvorenosti aerodroma tj. obavljanje javne usluge (Services of General Economic Interest - SGEI), a koja se  primjenjuje u Zračnoj luci Osijek d.o.o.   </w:t>
      </w:r>
    </w:p>
    <w:p w:rsidR="002E3202" w:rsidRDefault="00391FE7">
      <w:r>
        <w:t>Mjera obavljanja javne usluge (SGEI) provodila se kroz proteklo razdoblje te je planiran nastavak provedbe iste mjere i kroz buduće petogodišnje razdoblje. Slijedom toga, u 2023. godini pokrenut je postupak za odobrenje ove pojedinačne državne potpore (SGEI) Zračnoj luci Osijek d.o.o. u razdoblju od 2024. – 2028. godine te je izrađena analiza i projekcija troškova obavljanja ove javne usluge u razdoblju od 2024. – 2028. godine, a iz koje proizlazi da bi iznos od 1.460.000,00 eura za 2024. godinu, iznos od 1.440.000,00 eura za 2025. godinu te iznos od 1.420.000,00 eura za 2026. godinu bio dostatan za naknadu Zračnoj luci Osijek d.o.o. za obavljanje javne usluge u ovom planskom razdoblju.</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podržanih mjera (zahtjeva) aerodroma u svrhu sigurnosti i zaštite aerodroma u RH</w:t>
            </w:r>
          </w:p>
        </w:tc>
        <w:tc>
          <w:tcPr>
            <w:tcW w:w="2245" w:type="dxa"/>
            <w:vAlign w:val="top"/>
          </w:tcPr>
          <w:p w:rsidR="002E3202" w:rsidRDefault="00391FE7">
            <w:pPr>
              <w:pStyle w:val="CellColumn"/>
              <w:jc w:val="left"/>
            </w:pPr>
            <w:r>
              <w:rPr>
                <w:rFonts w:cs="Times New Roman"/>
              </w:rPr>
              <w:t xml:space="preserve">Povećanjem broja podržanih mjera (zahtjeva) aerodroma postiže se povećanje sigurnosti i zaštite zračnog prometa u RH)  </w:t>
            </w:r>
          </w:p>
          <w:p w:rsidR="002E3202" w:rsidRDefault="00391FE7">
            <w:pPr>
              <w:pStyle w:val="CellColumn"/>
              <w:jc w:val="left"/>
            </w:pPr>
            <w:r>
              <w:rPr>
                <w:rFonts w:cs="Times New Roman"/>
              </w:rPr>
              <w:t>Napomena: Radi se o godišnjoj vrijednosti</w:t>
            </w:r>
          </w:p>
        </w:tc>
        <w:tc>
          <w:tcPr>
            <w:tcW w:w="918" w:type="dxa"/>
          </w:tcPr>
          <w:p w:rsidR="002E3202" w:rsidRDefault="00391FE7">
            <w:pPr>
              <w:jc w:val="center"/>
            </w:pPr>
            <w:r>
              <w:t>broj</w:t>
            </w:r>
          </w:p>
        </w:tc>
        <w:tc>
          <w:tcPr>
            <w:tcW w:w="918" w:type="dxa"/>
          </w:tcPr>
          <w:p w:rsidR="002E3202" w:rsidRDefault="00391FE7">
            <w:pPr>
              <w:jc w:val="center"/>
            </w:pPr>
            <w:r>
              <w:t>7</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8</w:t>
            </w:r>
          </w:p>
        </w:tc>
        <w:tc>
          <w:tcPr>
            <w:tcW w:w="918" w:type="dxa"/>
          </w:tcPr>
          <w:p w:rsidR="002E3202" w:rsidRDefault="00391FE7">
            <w:pPr>
              <w:jc w:val="center"/>
            </w:pPr>
            <w:r>
              <w:t>10</w:t>
            </w:r>
          </w:p>
        </w:tc>
        <w:tc>
          <w:tcPr>
            <w:tcW w:w="918" w:type="dxa"/>
          </w:tcPr>
          <w:p w:rsidR="002E3202" w:rsidRDefault="00391FE7">
            <w:pPr>
              <w:jc w:val="center"/>
            </w:pPr>
            <w:r>
              <w:t>11</w:t>
            </w:r>
          </w:p>
        </w:tc>
      </w:tr>
    </w:tbl>
    <w:p w:rsidR="002E3202" w:rsidRDefault="002E3202">
      <w:pPr>
        <w:jc w:val="left"/>
      </w:pPr>
    </w:p>
    <w:p w:rsidR="002E3202" w:rsidRDefault="00391FE7">
      <w:pPr>
        <w:pStyle w:val="Heading4"/>
      </w:pPr>
      <w:r>
        <w:t>A587050 OČUVANJE PROMETNE POVEZANOSTI REGIJA (DOMAĆI LINIJSKI ZRAČNI PRIJEVOZ)</w:t>
      </w:r>
    </w:p>
    <w:p w:rsidR="002E3202" w:rsidRDefault="00391FE7">
      <w:pPr>
        <w:pStyle w:val="Heading8"/>
        <w:jc w:val="left"/>
      </w:pPr>
      <w:r>
        <w:t>Zakonske i druge pravne osnove</w:t>
      </w:r>
    </w:p>
    <w:p w:rsidR="002E3202" w:rsidRDefault="00391FE7">
      <w:r>
        <w:t xml:space="preserve">- Zakon o zračnom prometu, članak 30, stavak l  </w:t>
      </w:r>
    </w:p>
    <w:p w:rsidR="002E3202" w:rsidRDefault="00391FE7">
      <w:r>
        <w:t xml:space="preserve">- Odluka o obvezi obavljanja domaćeg linijskog zračnog prijevoza za razdoblje od 4. srpnja 2022. do 28. ožujka 2026. godine, koju je Vlada Republike Hrvatske donijela 30. travnja 2020. godine, 22. travnja 2021. godine i  9. lipnja 2022. godine </w:t>
      </w:r>
    </w:p>
    <w:p w:rsidR="002E3202" w:rsidRDefault="00391FE7">
      <w:r>
        <w:t xml:space="preserve">- Odluka o izboru ponuda za obavljanje usluge domaćeg linijskog zračnog prijevoza, koju je Ministarstvo mora, prometa i infrastrukture donijelo 21. lipnja 2022. godine  </w:t>
      </w:r>
    </w:p>
    <w:p w:rsidR="002E3202" w:rsidRDefault="00391FE7">
      <w:r>
        <w:t xml:space="preserve">- Odluka o davanju suglasnosti Ministarstvu mora, prometa i infrastrukture za preuzimanje obveza na teret sredstava državnog proračuna Republike Hrvatske u razdoblju od 2022. do 2026. godine za sklapanje ugovora o obvezi obavljanja domaćeg linijskog zračnog prijevoza, koju je Vlada Republike Hrvatske donijela na sjednici održanoj 1. rujna 2022. godine </w:t>
      </w:r>
    </w:p>
    <w:p w:rsidR="002E3202" w:rsidRDefault="00391FE7">
      <w:r>
        <w:t xml:space="preserve">- Ugovor o obvezi obavljanja domaćeg linijskog zračnog prijevoza za razdoblje od 4. srpnja 2022. do 28. ožujka 2026. godine, od 7. rujna 2022. godine (sa zračnim prijevoznikom Croatia Airlines d.d.)  </w:t>
      </w:r>
    </w:p>
    <w:p w:rsidR="002E3202" w:rsidRDefault="00391FE7">
      <w:r>
        <w:t>- Ugovor o obvezi obavljanja domaćeg linijskog zračnog prijevoza za razdoblje od 4. srpnja 2022. do 28. ožujka 2026. godine, od 7. rujna 2022. godine (sa zračnim prijevoznikom Trade Air d.o.o.)</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A587050</w:t>
            </w:r>
          </w:p>
        </w:tc>
        <w:tc>
          <w:tcPr>
            <w:tcW w:w="1632" w:type="dxa"/>
            <w:vAlign w:val="top"/>
          </w:tcPr>
          <w:p w:rsidR="002E3202" w:rsidRDefault="00391FE7">
            <w:pPr>
              <w:jc w:val="right"/>
            </w:pPr>
            <w:r>
              <w:t>15.248.152</w:t>
            </w:r>
          </w:p>
        </w:tc>
        <w:tc>
          <w:tcPr>
            <w:tcW w:w="1632" w:type="dxa"/>
            <w:vAlign w:val="top"/>
          </w:tcPr>
          <w:p w:rsidR="002E3202" w:rsidRDefault="00391FE7">
            <w:pPr>
              <w:jc w:val="right"/>
            </w:pPr>
            <w:r>
              <w:t>19.181.757</w:t>
            </w:r>
          </w:p>
        </w:tc>
        <w:tc>
          <w:tcPr>
            <w:tcW w:w="1632" w:type="dxa"/>
            <w:vAlign w:val="top"/>
          </w:tcPr>
          <w:p w:rsidR="002E3202" w:rsidRDefault="00391FE7">
            <w:pPr>
              <w:jc w:val="right"/>
            </w:pPr>
            <w:r>
              <w:t>16.931.786</w:t>
            </w:r>
          </w:p>
        </w:tc>
        <w:tc>
          <w:tcPr>
            <w:tcW w:w="1632" w:type="dxa"/>
            <w:vAlign w:val="top"/>
          </w:tcPr>
          <w:p w:rsidR="002E3202" w:rsidRDefault="00391FE7">
            <w:pPr>
              <w:jc w:val="right"/>
            </w:pPr>
            <w:r>
              <w:t>18.773.660</w:t>
            </w:r>
          </w:p>
        </w:tc>
        <w:tc>
          <w:tcPr>
            <w:tcW w:w="1632" w:type="dxa"/>
            <w:vAlign w:val="top"/>
          </w:tcPr>
          <w:p w:rsidR="002E3202" w:rsidRDefault="00391FE7">
            <w:pPr>
              <w:jc w:val="right"/>
            </w:pPr>
            <w:r>
              <w:t>18.793.660</w:t>
            </w:r>
          </w:p>
        </w:tc>
        <w:tc>
          <w:tcPr>
            <w:tcW w:w="510" w:type="dxa"/>
            <w:vAlign w:val="top"/>
          </w:tcPr>
          <w:p w:rsidR="002E3202" w:rsidRDefault="00391FE7">
            <w:pPr>
              <w:jc w:val="right"/>
            </w:pPr>
            <w:r>
              <w:t>88,3</w:t>
            </w:r>
          </w:p>
        </w:tc>
      </w:tr>
    </w:tbl>
    <w:p w:rsidR="002E3202" w:rsidRDefault="002E3202">
      <w:pPr>
        <w:jc w:val="left"/>
      </w:pPr>
    </w:p>
    <w:p w:rsidR="002E3202" w:rsidRDefault="00391FE7">
      <w:r>
        <w:t xml:space="preserve">Očuvanje zračne prometne povezanosti, ima vrlo važnu ulogu za sustav zračnog prometa, a provođenje iste je predviđeno kroz poticanje redovitog zračnog prijevoza na domaćim zračnim linijama.  </w:t>
      </w:r>
    </w:p>
    <w:p w:rsidR="002E3202" w:rsidRDefault="00391FE7">
      <w:r>
        <w:t xml:space="preserve">Na ovoj aktivnosti planiraju se sredstva radi financiranja naknade zračnim prijevoznicima za obavljanje prijevoza na domaćim redovitim zračnim linijama, kao javne usluge.  </w:t>
      </w:r>
    </w:p>
    <w:p w:rsidR="002E3202" w:rsidRDefault="00391FE7">
      <w:r>
        <w:t xml:space="preserve">Korisnici sredstava na ovoj aktivnosti su zračni prijevoznici Croatia Airlines d.d. i Trade Air d.o.o. kojima je, slijedom provedenog postupka Javnog natječaja za obavljanje redovitog zračnog prijevoza u skladu s obvezama javnih usluga objavljenim 25. listopada 2021. godine u Službenom listu Europske unije (2021/C430/08), dodijeljeno obavljanje prijevoza na domaćim redovitim zračnim linijama, kao javne usluge (Services of General Economic Interest - SGEI).  </w:t>
      </w:r>
    </w:p>
    <w:p w:rsidR="002E3202" w:rsidRDefault="00391FE7">
      <w:r>
        <w:t xml:space="preserve">Budući se radi o preuzimanju obveza po ugovorima koji zahtijevaju plaćanje u sljedećim godinama (do 2026.), isti ugovori su, slijedom Zakona o proračunu i Zakona o izvršavanju Državnog proračuna dostavljeni Vladi Republike Hrvatske na propisanu suglasnost. Vlada Republike Hrvatske je na sjednici održanoj 1. rujna 2022. godine donijela Odluku o davanju suglasnosti Ministarstvu mora, prometa i infrastrukture za preuzimanje obveza na teret sredstava državnog proračuna Republike Hrvatske u razdoblju od 2022. do 2026. godine za sklapanje ugovora o obvezi obavljanja domaćeg linijskog zračnog prijevoza, slijedom koje Odluke su sklopljeni i višegodišnji ugovori i to sa zračnim prijevoznicima Croatia Airlines d.d. i Trade Air d.o.o.  </w:t>
      </w:r>
    </w:p>
    <w:p w:rsidR="002E3202" w:rsidRDefault="00391FE7">
      <w:r>
        <w:t xml:space="preserve">Iznosi financijskih sredstva za provedbu ove aktivnosti (račun 351) planirani su na temelju Ugovora o obvezi obavljanja domaćeg linijskog zračnog prijevoza za razdoblje od 4. srpnja 2022. do 28. ožujka 2026. godine, koji je sklopljen 7. rujna 2022. godine sa zračnim prijevoznikom Croatia Airlines d.d.  </w:t>
      </w:r>
    </w:p>
    <w:p w:rsidR="002E3202" w:rsidRDefault="00391FE7">
      <w:r>
        <w:t xml:space="preserve">Člankom 6. istoga Ugovora utvrđen je iznos naknade  Croatia Airlines-u za obavljanje javne usluge za razdoblje od 4. srpnja 2022. do 28. ožujka 2026. godine do najviše 55.211.622 eura i to: za razdoblje od 4. srpnja 2022. - 25. ožujka 2023. godine do najviše 11.183.045 eura; za razdoblje od 26. ožujka 2023. - 30 ožujka 2024. godine do najviše 14.894.067 eura ; za razdoblje od 31. ožujka 2024. - 29. ožujka 2025. godine do najviše 14.621.163 eura  i za razdoblje od 30. ožujka 2025. - 28. ožujka 2026. godine do najviše 14.513.347 eura. </w:t>
      </w:r>
    </w:p>
    <w:p w:rsidR="002E3202" w:rsidRDefault="00391FE7">
      <w:r>
        <w:t xml:space="preserve">Iznosi financijskih sredstva za provedbu ove aktivnosti (račun 352) planirani su na temelju Ugovora o obvezi obavljanja domaćeg linijskog zračnog prijevoza za razdoblje od 4. srpnja 2022. do 28. ožujka 2026. godine, koji je sklopljen 7. rujna 2022. godine sa zračnim prijevoznikom Trade Air d.o.o. </w:t>
      </w:r>
    </w:p>
    <w:p w:rsidR="002E3202" w:rsidRDefault="00391FE7">
      <w:r>
        <w:t xml:space="preserve"> </w:t>
      </w:r>
    </w:p>
    <w:p w:rsidR="002E3202" w:rsidRDefault="00391FE7">
      <w:r>
        <w:t xml:space="preserve">Člankom 6. istoga Ugovora utvrđen je iznos naknade Trade Air-u za obavljanje javne usluge za razdoblje od 4. srpnja 2022. do 28. ožujka 2026. godine do najviše 23.403.521 eura i to: za razdoblje od 4. srpnja 2022. do 25. ožujka 2023. godine do najviše 4.434.764 eura ; za razdoblje od 26. ožujka 2023. do 30. ožujka 2024. godine do najviše 6.152.690 eura ; za razdoblje od 31. ožujka 2024. do 29. ožujka 2025. godine do najviše 6.337.270 eura ; i za razdoblje od 30. ožujka 2025. do 28. ožujka 2026. godine do najviše 6.478.797 eura. </w:t>
      </w:r>
    </w:p>
    <w:p w:rsidR="002E3202" w:rsidRDefault="00391FE7">
      <w:r>
        <w:t>U Provedbenom programu Ministarstva za razdoblje 2021. – 2024. godine ista aktivnost je povezana s Mjerom 3. Očuvanje zračne povezanosti regije kroz odvijanje domaćeg linijskog zračnog prijevoza.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podržanih letova na domaćim zračnim linijama</w:t>
            </w:r>
          </w:p>
        </w:tc>
        <w:tc>
          <w:tcPr>
            <w:tcW w:w="2245" w:type="dxa"/>
            <w:vAlign w:val="top"/>
          </w:tcPr>
          <w:p w:rsidR="002E3202" w:rsidRDefault="00391FE7">
            <w:pPr>
              <w:pStyle w:val="CellColumn"/>
              <w:jc w:val="left"/>
            </w:pPr>
            <w:r>
              <w:rPr>
                <w:rFonts w:cs="Times New Roman"/>
              </w:rPr>
              <w:t xml:space="preserve">Očuvanjem broja domaćih letova postiže se ujednačeni razvoj regija te održavanje postojeće prometne povezanosti regija i područja unutar RH  </w:t>
            </w:r>
          </w:p>
          <w:p w:rsidR="002E3202" w:rsidRDefault="00391FE7">
            <w:pPr>
              <w:pStyle w:val="CellColumn"/>
              <w:jc w:val="left"/>
            </w:pPr>
            <w:r>
              <w:rPr>
                <w:rFonts w:cs="Times New Roman"/>
              </w:rPr>
              <w:t xml:space="preserve">  </w:t>
            </w:r>
          </w:p>
          <w:p w:rsidR="002E3202" w:rsidRDefault="00391FE7">
            <w:pPr>
              <w:pStyle w:val="CellColumn"/>
              <w:jc w:val="left"/>
            </w:pPr>
            <w:r>
              <w:rPr>
                <w:rFonts w:cs="Times New Roman"/>
              </w:rPr>
              <w:t>Napomena: Radi se o godišnjoj vrijednosti</w:t>
            </w:r>
          </w:p>
        </w:tc>
        <w:tc>
          <w:tcPr>
            <w:tcW w:w="918" w:type="dxa"/>
          </w:tcPr>
          <w:p w:rsidR="002E3202" w:rsidRDefault="00391FE7">
            <w:pPr>
              <w:jc w:val="center"/>
            </w:pPr>
            <w:r>
              <w:t>broj</w:t>
            </w:r>
          </w:p>
        </w:tc>
        <w:tc>
          <w:tcPr>
            <w:tcW w:w="918" w:type="dxa"/>
          </w:tcPr>
          <w:p w:rsidR="002E3202" w:rsidRDefault="00391FE7">
            <w:pPr>
              <w:jc w:val="center"/>
            </w:pPr>
            <w:r>
              <w:t>6.100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7.100</w:t>
            </w:r>
          </w:p>
        </w:tc>
        <w:tc>
          <w:tcPr>
            <w:tcW w:w="918" w:type="dxa"/>
          </w:tcPr>
          <w:p w:rsidR="002E3202" w:rsidRDefault="00391FE7">
            <w:pPr>
              <w:jc w:val="center"/>
            </w:pPr>
            <w:r>
              <w:t>7.200</w:t>
            </w:r>
          </w:p>
        </w:tc>
        <w:tc>
          <w:tcPr>
            <w:tcW w:w="918" w:type="dxa"/>
          </w:tcPr>
          <w:p w:rsidR="002E3202" w:rsidRDefault="00391FE7">
            <w:pPr>
              <w:jc w:val="center"/>
            </w:pPr>
            <w:r>
              <w:t>7.200</w:t>
            </w:r>
          </w:p>
        </w:tc>
      </w:tr>
    </w:tbl>
    <w:p w:rsidR="002E3202" w:rsidRDefault="002E3202">
      <w:pPr>
        <w:jc w:val="left"/>
      </w:pPr>
    </w:p>
    <w:p w:rsidR="002E3202" w:rsidRDefault="00391FE7">
      <w:pPr>
        <w:pStyle w:val="Heading4"/>
      </w:pPr>
      <w:r>
        <w:t>A754025 NADOKNADA TROŠKOVA HRVATSKOJ KONTROLI ZRAČNE PLOVIDBE ZA RUTNE I TERMINALNE NAKNADE ZA IZUZETE LETOVE</w:t>
      </w:r>
    </w:p>
    <w:p w:rsidR="002E3202" w:rsidRDefault="00391FE7">
      <w:pPr>
        <w:pStyle w:val="Heading8"/>
        <w:jc w:val="left"/>
      </w:pPr>
      <w:r>
        <w:t>Zakonske i druge pravne osnove</w:t>
      </w:r>
    </w:p>
    <w:p w:rsidR="002E3202" w:rsidRDefault="00391FE7">
      <w:r>
        <w:t xml:space="preserve">- Zakon o osnutku Hrvatske kontrole zračne plovidbe, članak 3, stavak 4  </w:t>
      </w:r>
    </w:p>
    <w:p w:rsidR="002E3202" w:rsidRDefault="00391FE7">
      <w:r>
        <w:t>- Odluka o utvrđivanju letova koji se izuzimaju od plaćanja naknada u zračnoj plovidbi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A754025</w:t>
            </w:r>
          </w:p>
        </w:tc>
        <w:tc>
          <w:tcPr>
            <w:tcW w:w="1632" w:type="dxa"/>
            <w:vAlign w:val="top"/>
          </w:tcPr>
          <w:p w:rsidR="002E3202" w:rsidRDefault="00391FE7">
            <w:pPr>
              <w:jc w:val="right"/>
            </w:pPr>
            <w:r>
              <w:t>446.718</w:t>
            </w:r>
          </w:p>
        </w:tc>
        <w:tc>
          <w:tcPr>
            <w:tcW w:w="1632" w:type="dxa"/>
            <w:vAlign w:val="top"/>
          </w:tcPr>
          <w:p w:rsidR="002E3202" w:rsidRDefault="00391FE7">
            <w:pPr>
              <w:jc w:val="right"/>
            </w:pPr>
            <w:r>
              <w:t>635.303</w:t>
            </w:r>
          </w:p>
        </w:tc>
        <w:tc>
          <w:tcPr>
            <w:tcW w:w="1632" w:type="dxa"/>
            <w:vAlign w:val="top"/>
          </w:tcPr>
          <w:p w:rsidR="002E3202" w:rsidRDefault="00391FE7">
            <w:pPr>
              <w:jc w:val="right"/>
            </w:pPr>
            <w:r>
              <w:t>720.000</w:t>
            </w:r>
          </w:p>
        </w:tc>
        <w:tc>
          <w:tcPr>
            <w:tcW w:w="1632" w:type="dxa"/>
            <w:vAlign w:val="top"/>
          </w:tcPr>
          <w:p w:rsidR="002E3202" w:rsidRDefault="00391FE7">
            <w:pPr>
              <w:jc w:val="right"/>
            </w:pPr>
            <w:r>
              <w:t>720.000</w:t>
            </w:r>
          </w:p>
        </w:tc>
        <w:tc>
          <w:tcPr>
            <w:tcW w:w="1632" w:type="dxa"/>
            <w:vAlign w:val="top"/>
          </w:tcPr>
          <w:p w:rsidR="002E3202" w:rsidRDefault="00391FE7">
            <w:pPr>
              <w:jc w:val="right"/>
            </w:pPr>
            <w:r>
              <w:t>720.000</w:t>
            </w:r>
          </w:p>
        </w:tc>
        <w:tc>
          <w:tcPr>
            <w:tcW w:w="510" w:type="dxa"/>
            <w:vAlign w:val="top"/>
          </w:tcPr>
          <w:p w:rsidR="002E3202" w:rsidRDefault="00391FE7">
            <w:pPr>
              <w:jc w:val="right"/>
            </w:pPr>
            <w:r>
              <w:t>113,3</w:t>
            </w:r>
          </w:p>
        </w:tc>
      </w:tr>
    </w:tbl>
    <w:p w:rsidR="002E3202" w:rsidRDefault="002E3202">
      <w:pPr>
        <w:jc w:val="left"/>
      </w:pPr>
    </w:p>
    <w:p w:rsidR="002E3202" w:rsidRDefault="00391FE7">
      <w:r>
        <w:t xml:space="preserve">Ova aktivnost provodi se svake godine. Zakonom o osnutku Hrvatske kontrole zračne plovidbe, između ostalog, određeno je i da će se troškovi usluga koje društvo Hrvatska kontrola zračne plovidbe d.o.o. pruža izuzetim letovima, istom Društvu nadoknađivati iz sredstava koja se osiguravaju u državnom proračunu Republike Hrvatske kao i da Društvo ima pravo na nadoknadu troškova za te letove i to počevši od 1. srpnja 2013., a troškovi letova će se nadoknađivati u tekućoj godini za troškove koji nastanu u prethodnoj godini.   </w:t>
      </w:r>
    </w:p>
    <w:p w:rsidR="002E3202" w:rsidRDefault="00391FE7">
      <w:r>
        <w:t xml:space="preserve">Odlukom o utvrđivanju letova koji se izuzimaju od plaćanja naknada u zračnoj plovidbi, utvrđen je popis letova koji se izuzimaju od obveze plaćanja rutnih i terminalnih naknada, a navedene naknade odnose se na usluge u zračnoj plovidbi koje pružaju pružatelji usluga u zračnoj plovidbi tijekom preleta zračnog prostora ili doleta na aerodrome.  </w:t>
      </w:r>
    </w:p>
    <w:p w:rsidR="002E3202" w:rsidRDefault="00391FE7">
      <w:r>
        <w:t xml:space="preserve">Na ovoj aktivnosti planiraju se proračunska sredstva potrebna za nadoknadu troškova usluga koje društvo Hrvatska kontrola zračne plovidbe d.o.o. (HKZP) pruža letovima koji su izuzeti od plaćanja rutnih i terminalnih naknada (potraga i spašavanje, vojni letovi, policijski letovi, humanitarni letovi, određena osposobljavanja i dr.).  </w:t>
      </w:r>
    </w:p>
    <w:p w:rsidR="002E3202" w:rsidRDefault="00391FE7">
      <w:r>
        <w:t>Iznos potrebnih financijskih sredstva za provedbu ove aktivnosti, temeljen je na ostvarenim propuštenim prihodima HKZP-a s osnove izuzetih letova, odnosno planiran je u skladu s obračunom propuštenih naknada rutnih i terminalnih usluga za sve kategorije izuzetih letova ostvarenih tijekom proteklog razdoblja (2013. – 2022.) te se stoga procjenjuje da će planirani iznosi od 720.000 eura/godišnje biti dostatni za nadoknadu navedenih troškova HKZP-u  u razdoblju 2024. do 2026. godine.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Udio podržanih servisnih jedinica (Service units) za rutne naknade za izuzete letove</w:t>
            </w:r>
          </w:p>
        </w:tc>
        <w:tc>
          <w:tcPr>
            <w:tcW w:w="2245" w:type="dxa"/>
            <w:vAlign w:val="top"/>
          </w:tcPr>
          <w:p w:rsidR="002E3202" w:rsidRDefault="00391FE7">
            <w:pPr>
              <w:pStyle w:val="CellColumn"/>
              <w:jc w:val="left"/>
            </w:pPr>
            <w:r>
              <w:rPr>
                <w:rFonts w:cs="Times New Roman"/>
              </w:rPr>
              <w:t xml:space="preserve">Podržavanjem servisnih jedinica (Service units) za rutne naknade za izuzete letove omogućava se nesmetan prelet zračnog prostora ili dolet na aerodrome u Republici Hrvatskoj, a za letove potraga i spašavanja, vojne letove, policijske letove te humanitarne letove   </w:t>
            </w:r>
          </w:p>
          <w:p w:rsidR="002E3202" w:rsidRDefault="00391FE7">
            <w:pPr>
              <w:pStyle w:val="CellColumn"/>
              <w:jc w:val="left"/>
            </w:pPr>
            <w:r>
              <w:rPr>
                <w:rFonts w:cs="Times New Roman"/>
              </w:rPr>
              <w:t>Napomena: Radi se o godišnjoj vrijednosti</w:t>
            </w:r>
          </w:p>
        </w:tc>
        <w:tc>
          <w:tcPr>
            <w:tcW w:w="918" w:type="dxa"/>
          </w:tcPr>
          <w:p w:rsidR="002E3202" w:rsidRDefault="00391FE7">
            <w:pPr>
              <w:jc w:val="center"/>
            </w:pPr>
            <w:r>
              <w:t>%</w:t>
            </w:r>
          </w:p>
        </w:tc>
        <w:tc>
          <w:tcPr>
            <w:tcW w:w="918" w:type="dxa"/>
          </w:tcPr>
          <w:p w:rsidR="002E3202" w:rsidRDefault="00391FE7">
            <w:pPr>
              <w:jc w:val="center"/>
            </w:pPr>
            <w:r>
              <w:t>100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391FE7">
            <w:pPr>
              <w:jc w:val="center"/>
            </w:pPr>
            <w:r>
              <w:t>100</w:t>
            </w:r>
          </w:p>
        </w:tc>
        <w:tc>
          <w:tcPr>
            <w:tcW w:w="918" w:type="dxa"/>
          </w:tcPr>
          <w:p w:rsidR="002E3202" w:rsidRDefault="00391FE7">
            <w:pPr>
              <w:jc w:val="center"/>
            </w:pPr>
            <w:r>
              <w:t>100</w:t>
            </w:r>
          </w:p>
        </w:tc>
      </w:tr>
      <w:tr w:rsidR="002E3202">
        <w:trPr>
          <w:jc w:val="center"/>
        </w:trPr>
        <w:tc>
          <w:tcPr>
            <w:tcW w:w="2245" w:type="dxa"/>
            <w:vAlign w:val="top"/>
          </w:tcPr>
          <w:p w:rsidR="002E3202" w:rsidRDefault="00391FE7">
            <w:pPr>
              <w:pStyle w:val="CellColumn"/>
              <w:jc w:val="left"/>
            </w:pPr>
            <w:r>
              <w:rPr>
                <w:rFonts w:cs="Times New Roman"/>
              </w:rPr>
              <w:t>Udio podržanih servisnih jedinica (Service units) za terminalne naknade za izuzete letove</w:t>
            </w:r>
          </w:p>
        </w:tc>
        <w:tc>
          <w:tcPr>
            <w:tcW w:w="2245" w:type="dxa"/>
            <w:vAlign w:val="top"/>
          </w:tcPr>
          <w:p w:rsidR="002E3202" w:rsidRDefault="00391FE7">
            <w:pPr>
              <w:pStyle w:val="CellColumn"/>
              <w:jc w:val="left"/>
            </w:pPr>
            <w:r>
              <w:rPr>
                <w:rFonts w:cs="Times New Roman"/>
              </w:rPr>
              <w:t xml:space="preserve">Podržavanjem servisnih jedinica (Service units) za terminalne naknade za izuzete letove omogućava se nesmetan prelet zračnog prostora ili dolet na aerodrome u Republici Hrvatskoj, a za letove potraga i spašavanja, vojne letove, policijske letove te humanitarne letove  </w:t>
            </w:r>
          </w:p>
          <w:p w:rsidR="002E3202" w:rsidRDefault="00391FE7">
            <w:pPr>
              <w:pStyle w:val="CellColumn"/>
              <w:jc w:val="left"/>
            </w:pPr>
            <w:r>
              <w:rPr>
                <w:rFonts w:cs="Times New Roman"/>
              </w:rPr>
              <w:t>Napomena: Radi se o godišnjoj vrijednosti</w:t>
            </w:r>
          </w:p>
        </w:tc>
        <w:tc>
          <w:tcPr>
            <w:tcW w:w="918" w:type="dxa"/>
          </w:tcPr>
          <w:p w:rsidR="002E3202" w:rsidRDefault="00391FE7">
            <w:pPr>
              <w:jc w:val="center"/>
            </w:pPr>
            <w:r>
              <w:t>%</w:t>
            </w:r>
          </w:p>
        </w:tc>
        <w:tc>
          <w:tcPr>
            <w:tcW w:w="918" w:type="dxa"/>
          </w:tcPr>
          <w:p w:rsidR="002E3202" w:rsidRDefault="00391FE7">
            <w:pPr>
              <w:jc w:val="center"/>
            </w:pPr>
            <w:r>
              <w:t>100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391FE7">
            <w:pPr>
              <w:jc w:val="center"/>
            </w:pPr>
            <w:r>
              <w:t>100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A754035 PROVEDBA UGOVORA O KONCESIJI ZA IZGRADNJU NOVOG PUTNIČKOG TERMINALA ZRAČNE LUKE ZAGREB</w:t>
      </w:r>
    </w:p>
    <w:p w:rsidR="002E3202" w:rsidRDefault="00391FE7">
      <w:pPr>
        <w:pStyle w:val="Heading8"/>
        <w:jc w:val="left"/>
      </w:pPr>
      <w:r>
        <w:t>Zakonske i druge pravne osnove</w:t>
      </w:r>
    </w:p>
    <w:p w:rsidR="002E3202" w:rsidRDefault="00391FE7">
      <w:r>
        <w:t xml:space="preserve">- Ugovor o koncesiji (Izmjena br. 2 Ugovora o koncesiji za izgradnju i upravljanje Zračnom lukom Zagreb između Republike Hrvatske i Međunarodne zračne luke Zagreb d.d.)., od 2. prosinca 2013.  </w:t>
      </w:r>
    </w:p>
    <w:p w:rsidR="002E3202" w:rsidRDefault="00391FE7">
      <w:r>
        <w:t xml:space="preserve">- Zaključak Vlade Republike Hrvatske od 10. srpnja 2014.  </w:t>
      </w:r>
    </w:p>
    <w:p w:rsidR="002E3202" w:rsidRDefault="00391FE7">
      <w:r>
        <w:t xml:space="preserve">- Sporazum o uređenju međusobnih odnosa u vezi davanja koncesije za Zračnu luku Zagreb između Ministarstva mora, prometa, i infrastrukture i Zračne luke Zagreb d.o.o. od 14. srpnja 2014.  </w:t>
      </w:r>
    </w:p>
    <w:p w:rsidR="002E3202" w:rsidRDefault="00391FE7">
      <w:r>
        <w:t>- Zakon o zračnim lukama, članak 9.b, stavak 11, članak 10</w:t>
      </w:r>
    </w:p>
    <w:tbl>
      <w:tblPr>
        <w:tblStyle w:val="StilTablice"/>
        <w:tblW w:w="10206" w:type="dxa"/>
        <w:jc w:val="center"/>
        <w:tblLook w:val="04A0" w:firstRow="1" w:lastRow="0" w:firstColumn="1" w:lastColumn="0" w:noHBand="0" w:noVBand="1"/>
      </w:tblPr>
      <w:tblGrid>
        <w:gridCol w:w="1472"/>
        <w:gridCol w:w="1564"/>
        <w:gridCol w:w="1550"/>
        <w:gridCol w:w="1550"/>
        <w:gridCol w:w="1550"/>
        <w:gridCol w:w="1550"/>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A754035</w:t>
            </w:r>
          </w:p>
        </w:tc>
        <w:tc>
          <w:tcPr>
            <w:tcW w:w="1632" w:type="dxa"/>
            <w:vAlign w:val="top"/>
          </w:tcPr>
          <w:p w:rsidR="002E3202" w:rsidRDefault="00391FE7">
            <w:pPr>
              <w:jc w:val="right"/>
            </w:pPr>
            <w:r>
              <w:t>1.111.405</w:t>
            </w:r>
          </w:p>
        </w:tc>
        <w:tc>
          <w:tcPr>
            <w:tcW w:w="1632" w:type="dxa"/>
            <w:vAlign w:val="top"/>
          </w:tcPr>
          <w:p w:rsidR="002E3202" w:rsidRDefault="00391FE7">
            <w:pPr>
              <w:jc w:val="right"/>
            </w:pPr>
            <w:r>
              <w:t>182.494</w:t>
            </w:r>
          </w:p>
        </w:tc>
        <w:tc>
          <w:tcPr>
            <w:tcW w:w="1632" w:type="dxa"/>
            <w:vAlign w:val="top"/>
          </w:tcPr>
          <w:p w:rsidR="002E3202" w:rsidRDefault="00391FE7">
            <w:pPr>
              <w:jc w:val="right"/>
            </w:pPr>
            <w:r>
              <w:t>182.494</w:t>
            </w:r>
          </w:p>
        </w:tc>
        <w:tc>
          <w:tcPr>
            <w:tcW w:w="1632" w:type="dxa"/>
            <w:vAlign w:val="top"/>
          </w:tcPr>
          <w:p w:rsidR="002E3202" w:rsidRDefault="00391FE7">
            <w:pPr>
              <w:jc w:val="right"/>
            </w:pPr>
            <w:r>
              <w:t>182.494</w:t>
            </w:r>
          </w:p>
        </w:tc>
        <w:tc>
          <w:tcPr>
            <w:tcW w:w="1632" w:type="dxa"/>
            <w:vAlign w:val="top"/>
          </w:tcPr>
          <w:p w:rsidR="002E3202" w:rsidRDefault="00391FE7">
            <w:pPr>
              <w:jc w:val="right"/>
            </w:pPr>
            <w:r>
              <w:t>182.494</w:t>
            </w:r>
          </w:p>
        </w:tc>
        <w:tc>
          <w:tcPr>
            <w:tcW w:w="510" w:type="dxa"/>
            <w:vAlign w:val="top"/>
          </w:tcPr>
          <w:p w:rsidR="002E3202" w:rsidRDefault="00391FE7">
            <w:pPr>
              <w:jc w:val="right"/>
            </w:pPr>
            <w:r>
              <w:t>100,0</w:t>
            </w:r>
          </w:p>
        </w:tc>
      </w:tr>
    </w:tbl>
    <w:p w:rsidR="002E3202" w:rsidRDefault="002E3202">
      <w:pPr>
        <w:jc w:val="left"/>
      </w:pPr>
    </w:p>
    <w:p w:rsidR="002E3202" w:rsidRDefault="00391FE7">
      <w:r>
        <w:t xml:space="preserve">Nakon međunarodnog javnog natječaja, Vlada Republike Hrvatske dala je koncesiju društvu ZAIC za izgradnju Novog putničkog terminala i upravljanje Zračnom lukom Zagreb, a Ministarstvo mora, prometa i infrastrukture je sukladno članku 32. Zakona o koncesijama, u ime davatelja koncesije, nadležno za praćenje provođenja koncesije.   </w:t>
      </w:r>
    </w:p>
    <w:p w:rsidR="002E3202" w:rsidRDefault="00391FE7">
      <w:r>
        <w:t xml:space="preserve">U okviru nadležnosti Ministarstva, osnovano je Povjerenstvo za praćenje provedbe ugovora o koncesiji za izgradnju i upravljanje Zračnom lukom Zagreb, koje prati provedbu te izvršenje obveza iz Ugovora o koncesiji te koje ima obvezu da davatelju koncesije i Ministarstvu financija dostavlja izvještaje o provedbi Ugovora o koncesiji.  </w:t>
      </w:r>
    </w:p>
    <w:p w:rsidR="002E3202" w:rsidRDefault="00391FE7">
      <w:r>
        <w:t xml:space="preserve">Za provedbu ove aktivnosti za razdoblje od  2024. do 2026. godine, planirana su proračunska sredstva u svrhu plaćanja naknade za korištenje nekretnina društva Zračne luke Zagreb d.o.o., koju bi plaćalo ovo Ministarstvo u ime Republike Hrvatske sukladno udjelu u temeljnom kapitalu društva Zračne luke Zagreb d.o.o.. Ministarstvo je pokrenulo postupak za rješavanje pitanja sklapanja Sporazuma o plaćanju naknade za korištenje imovine Zračne luke Zagreb d.o.o. između svih suvlasnika te je definiran i model plaćanja naknade za korištenje imovine Zračne luke Zagreb d.o.o. koju bi temeljem navedenog Sporazuma plaćali svi suvlasnici, u iznosu vlasničkog udjela i u ukupnom iznosu naknade od 265.446 eura/godišnje. Sukladno vlasničkom udjelu utvrđeni su i iznosi godišnje naknade (za Republiku Hrvatsku 145.995 eura, za Grad Zagreb 92.905 eura, za Grad Velika Gorica 13.272 eura i za Zagrebačku županiju 13.272 eura), a koji se iznosi uvećavanju za iznos PDV-a te je procijenjeno da bi iznos od 182.494 eura/godišnje  bio dostatan za provedbu ove aktivnosti u ovom planskom razdoblju. </w:t>
      </w:r>
    </w:p>
    <w:p w:rsidR="002E3202" w:rsidRDefault="00391FE7">
      <w:r>
        <w:t>U Provedbenom programu Ministarstva za razdoblje 2021. – 2024. godine ista aktivnost je povezana s Mjerom 4. Provedba ugovora o koncesiji za izgradnju novog putničkog terminala i upravljanje Zračnom lukom Zagreb.</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dostavljenih izvještaja o provedbi Ugovora o koncesiji</w:t>
            </w:r>
          </w:p>
        </w:tc>
        <w:tc>
          <w:tcPr>
            <w:tcW w:w="2245" w:type="dxa"/>
            <w:vAlign w:val="top"/>
          </w:tcPr>
          <w:p w:rsidR="002E3202" w:rsidRDefault="00391FE7">
            <w:pPr>
              <w:pStyle w:val="CellColumn"/>
              <w:jc w:val="left"/>
            </w:pPr>
            <w:r>
              <w:rPr>
                <w:rFonts w:cs="Times New Roman"/>
              </w:rPr>
              <w:t xml:space="preserve">Očuvanjem broja dostavljenih izvještaja o provedbi Ugovora o koncesiji postiže se ujednačeno praćenje izvršenja obveza iz Ugovora o koncesiji  </w:t>
            </w:r>
          </w:p>
          <w:p w:rsidR="002E3202" w:rsidRDefault="00391FE7">
            <w:pPr>
              <w:pStyle w:val="CellColumn"/>
              <w:jc w:val="left"/>
            </w:pPr>
            <w:r>
              <w:rPr>
                <w:rFonts w:cs="Times New Roman"/>
              </w:rPr>
              <w:t>Napomena: Radi se o godišnjoj vrijednosti</w:t>
            </w:r>
          </w:p>
        </w:tc>
        <w:tc>
          <w:tcPr>
            <w:tcW w:w="918" w:type="dxa"/>
          </w:tcPr>
          <w:p w:rsidR="002E3202" w:rsidRDefault="00391FE7">
            <w:pPr>
              <w:jc w:val="center"/>
            </w:pPr>
            <w:r>
              <w:t>broj</w:t>
            </w:r>
          </w:p>
        </w:tc>
        <w:tc>
          <w:tcPr>
            <w:tcW w:w="918" w:type="dxa"/>
          </w:tcPr>
          <w:p w:rsidR="002E3202" w:rsidRDefault="00391FE7">
            <w:pPr>
              <w:jc w:val="center"/>
            </w:pPr>
            <w:r>
              <w:t>3</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3</w:t>
            </w:r>
          </w:p>
        </w:tc>
        <w:tc>
          <w:tcPr>
            <w:tcW w:w="918" w:type="dxa"/>
          </w:tcPr>
          <w:p w:rsidR="002E3202" w:rsidRDefault="00391FE7">
            <w:pPr>
              <w:jc w:val="center"/>
            </w:pPr>
            <w:r>
              <w:t>3</w:t>
            </w:r>
          </w:p>
        </w:tc>
        <w:tc>
          <w:tcPr>
            <w:tcW w:w="918" w:type="dxa"/>
          </w:tcPr>
          <w:p w:rsidR="002E3202" w:rsidRDefault="00391FE7">
            <w:pPr>
              <w:jc w:val="center"/>
            </w:pPr>
            <w:r>
              <w:t>3</w:t>
            </w:r>
          </w:p>
        </w:tc>
      </w:tr>
    </w:tbl>
    <w:p w:rsidR="002E3202" w:rsidRDefault="002E3202">
      <w:pPr>
        <w:jc w:val="left"/>
      </w:pPr>
    </w:p>
    <w:p w:rsidR="002E3202" w:rsidRDefault="00391FE7">
      <w:pPr>
        <w:pStyle w:val="Heading3"/>
      </w:pPr>
      <w:r>
        <w:rPr>
          <w:rFonts w:cs="Times New Roman"/>
        </w:rPr>
        <w:t>3114 IZGRADNJA I ODRŽAVANJE ŽELJEZNIČKE INFRASTRUKTURE</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3114</w:t>
            </w:r>
          </w:p>
        </w:tc>
        <w:tc>
          <w:tcPr>
            <w:tcW w:w="1632" w:type="dxa"/>
          </w:tcPr>
          <w:p w:rsidR="002E3202" w:rsidRDefault="00391FE7">
            <w:pPr>
              <w:jc w:val="right"/>
            </w:pPr>
            <w:r>
              <w:t>103.027.335</w:t>
            </w:r>
          </w:p>
        </w:tc>
        <w:tc>
          <w:tcPr>
            <w:tcW w:w="1632" w:type="dxa"/>
          </w:tcPr>
          <w:p w:rsidR="002E3202" w:rsidRDefault="00391FE7">
            <w:pPr>
              <w:jc w:val="right"/>
            </w:pPr>
            <w:r>
              <w:t>145.795.308</w:t>
            </w:r>
          </w:p>
        </w:tc>
        <w:tc>
          <w:tcPr>
            <w:tcW w:w="1632" w:type="dxa"/>
          </w:tcPr>
          <w:p w:rsidR="002E3202" w:rsidRDefault="00391FE7">
            <w:pPr>
              <w:jc w:val="right"/>
            </w:pPr>
            <w:r>
              <w:t>212.132.700</w:t>
            </w:r>
          </w:p>
        </w:tc>
        <w:tc>
          <w:tcPr>
            <w:tcW w:w="1632" w:type="dxa"/>
          </w:tcPr>
          <w:p w:rsidR="002E3202" w:rsidRDefault="00391FE7">
            <w:pPr>
              <w:jc w:val="right"/>
            </w:pPr>
            <w:r>
              <w:t>230.905.244</w:t>
            </w:r>
          </w:p>
        </w:tc>
        <w:tc>
          <w:tcPr>
            <w:tcW w:w="1632" w:type="dxa"/>
          </w:tcPr>
          <w:p w:rsidR="002E3202" w:rsidRDefault="00391FE7">
            <w:pPr>
              <w:jc w:val="right"/>
            </w:pPr>
            <w:r>
              <w:t>254.483.231</w:t>
            </w:r>
          </w:p>
        </w:tc>
        <w:tc>
          <w:tcPr>
            <w:tcW w:w="510" w:type="dxa"/>
          </w:tcPr>
          <w:p w:rsidR="002E3202" w:rsidRDefault="00391FE7">
            <w:pPr>
              <w:jc w:val="right"/>
            </w:pPr>
            <w:r>
              <w:t>145,5</w:t>
            </w:r>
          </w:p>
        </w:tc>
      </w:tr>
    </w:tbl>
    <w:p w:rsidR="002E3202" w:rsidRDefault="002E3202">
      <w:pPr>
        <w:jc w:val="left"/>
      </w:pPr>
    </w:p>
    <w:p w:rsidR="002E3202" w:rsidRDefault="00391FE7">
      <w:pPr>
        <w:pStyle w:val="Heading8"/>
        <w:jc w:val="left"/>
      </w:pPr>
      <w:r>
        <w:t>Cilj 1. Razvijen sustav željezničkog prometa</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Prosječno zakašnjenje putničkih vlakova na prijeđenih 100 km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Smanjenjem zakašnjenja putničkih vlakova povećava se kvaliteta usluge za krajnjeg korisnika</w:t>
            </w:r>
          </w:p>
        </w:tc>
        <w:tc>
          <w:tcPr>
            <w:tcW w:w="918" w:type="dxa"/>
          </w:tcPr>
          <w:p w:rsidR="002E3202" w:rsidRDefault="00391FE7">
            <w:pPr>
              <w:jc w:val="center"/>
            </w:pPr>
            <w:r>
              <w:t>min</w:t>
            </w:r>
          </w:p>
        </w:tc>
        <w:tc>
          <w:tcPr>
            <w:tcW w:w="918" w:type="dxa"/>
          </w:tcPr>
          <w:p w:rsidR="002E3202" w:rsidRDefault="00391FE7">
            <w:pPr>
              <w:jc w:val="center"/>
            </w:pPr>
            <w:r>
              <w:t>6</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6</w:t>
            </w:r>
          </w:p>
        </w:tc>
        <w:tc>
          <w:tcPr>
            <w:tcW w:w="918" w:type="dxa"/>
          </w:tcPr>
          <w:p w:rsidR="002E3202" w:rsidRDefault="00391FE7">
            <w:pPr>
              <w:jc w:val="center"/>
            </w:pPr>
            <w:r>
              <w:t>6</w:t>
            </w:r>
          </w:p>
        </w:tc>
        <w:tc>
          <w:tcPr>
            <w:tcW w:w="918" w:type="dxa"/>
          </w:tcPr>
          <w:p w:rsidR="002E3202" w:rsidRDefault="00391FE7">
            <w:pPr>
              <w:jc w:val="center"/>
            </w:pPr>
            <w:r>
              <w:t>6</w:t>
            </w:r>
          </w:p>
        </w:tc>
      </w:tr>
      <w:tr w:rsidR="002E3202">
        <w:trPr>
          <w:jc w:val="center"/>
        </w:trPr>
        <w:tc>
          <w:tcPr>
            <w:tcW w:w="2245" w:type="dxa"/>
            <w:vAlign w:val="top"/>
          </w:tcPr>
          <w:p w:rsidR="002E3202" w:rsidRDefault="00391FE7">
            <w:pPr>
              <w:pStyle w:val="CellColumn"/>
              <w:jc w:val="left"/>
            </w:pPr>
            <w:r>
              <w:rPr>
                <w:rFonts w:cs="Times New Roman"/>
              </w:rPr>
              <w:t xml:space="preserve">Prosječno zakašnjenje teretnih vlakova na prijeđenih 100 km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Smanjenjem zakašnjenja teretnih vlakova povećava se kvaliteta usluge za krajnjeg korisnika</w:t>
            </w:r>
          </w:p>
        </w:tc>
        <w:tc>
          <w:tcPr>
            <w:tcW w:w="918" w:type="dxa"/>
          </w:tcPr>
          <w:p w:rsidR="002E3202" w:rsidRDefault="00391FE7">
            <w:pPr>
              <w:jc w:val="center"/>
            </w:pPr>
            <w:r>
              <w:t>min</w:t>
            </w:r>
          </w:p>
        </w:tc>
        <w:tc>
          <w:tcPr>
            <w:tcW w:w="918" w:type="dxa"/>
          </w:tcPr>
          <w:p w:rsidR="002E3202" w:rsidRDefault="00391FE7">
            <w:pPr>
              <w:jc w:val="center"/>
            </w:pPr>
            <w:r>
              <w:t>210</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162</w:t>
            </w:r>
          </w:p>
        </w:tc>
        <w:tc>
          <w:tcPr>
            <w:tcW w:w="918" w:type="dxa"/>
          </w:tcPr>
          <w:p w:rsidR="002E3202" w:rsidRDefault="00391FE7">
            <w:pPr>
              <w:jc w:val="center"/>
            </w:pPr>
            <w:r>
              <w:t>162</w:t>
            </w:r>
          </w:p>
        </w:tc>
        <w:tc>
          <w:tcPr>
            <w:tcW w:w="918" w:type="dxa"/>
          </w:tcPr>
          <w:p w:rsidR="002E3202" w:rsidRDefault="00391FE7">
            <w:pPr>
              <w:jc w:val="center"/>
            </w:pPr>
            <w:r>
              <w:t>162</w:t>
            </w:r>
          </w:p>
        </w:tc>
      </w:tr>
    </w:tbl>
    <w:p w:rsidR="002E3202" w:rsidRDefault="002E3202">
      <w:pPr>
        <w:jc w:val="left"/>
      </w:pPr>
    </w:p>
    <w:p w:rsidR="002E3202" w:rsidRDefault="00391FE7">
      <w:pPr>
        <w:pStyle w:val="Heading4"/>
      </w:pPr>
      <w:r>
        <w:t>A754029 NAKNADA U CIJENI GORIVA ZA HŽ INFRASTRUKTURU D.O.O.</w:t>
      </w:r>
    </w:p>
    <w:p w:rsidR="002E3202" w:rsidRDefault="00391FE7">
      <w:pPr>
        <w:pStyle w:val="Heading8"/>
        <w:jc w:val="left"/>
      </w:pPr>
      <w:r>
        <w:t>Zakonske i druge pravne osnove</w:t>
      </w:r>
    </w:p>
    <w:p w:rsidR="002E3202" w:rsidRDefault="00391FE7">
      <w:r>
        <w:t xml:space="preserve">- Zakon o željeznici, članak 18.  </w:t>
      </w:r>
    </w:p>
    <w:p w:rsidR="002E3202" w:rsidRDefault="00391FE7">
      <w:r>
        <w:t xml:space="preserve">- Strategija prometnog razvoja Republike Hrvatske za razdoblje od 2017. do 2030. godine  </w:t>
      </w:r>
    </w:p>
    <w:p w:rsidR="002E3202" w:rsidRDefault="00391FE7">
      <w:r>
        <w:t xml:space="preserve">- Nacionalni program željezničke infrastrukture za razdoblje od 2016. do 2020. godine  </w:t>
      </w:r>
    </w:p>
    <w:p w:rsidR="002E3202" w:rsidRDefault="00391FE7">
      <w:r>
        <w:t>- Zakon o potvrđivanju Ugovora o jamstvu između Republike Hrvatske i Europske banke za obnovu i razvoj za "Projekt modernizacije HŽ infrastrukture“</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A754029</w:t>
            </w:r>
          </w:p>
        </w:tc>
        <w:tc>
          <w:tcPr>
            <w:tcW w:w="1632" w:type="dxa"/>
            <w:vAlign w:val="top"/>
          </w:tcPr>
          <w:p w:rsidR="002E3202" w:rsidRDefault="00391FE7">
            <w:pPr>
              <w:jc w:val="right"/>
            </w:pPr>
            <w:r>
              <w:t>69.015.860</w:t>
            </w:r>
          </w:p>
        </w:tc>
        <w:tc>
          <w:tcPr>
            <w:tcW w:w="1632" w:type="dxa"/>
            <w:vAlign w:val="top"/>
          </w:tcPr>
          <w:p w:rsidR="002E3202" w:rsidRDefault="00391FE7">
            <w:pPr>
              <w:jc w:val="right"/>
            </w:pPr>
            <w:r>
              <w:t>77.734.422</w:t>
            </w:r>
          </w:p>
        </w:tc>
        <w:tc>
          <w:tcPr>
            <w:tcW w:w="1632" w:type="dxa"/>
            <w:vAlign w:val="top"/>
          </w:tcPr>
          <w:p w:rsidR="002E3202" w:rsidRDefault="00391FE7">
            <w:pPr>
              <w:jc w:val="right"/>
            </w:pPr>
            <w:r>
              <w:t>73.000.000</w:t>
            </w:r>
          </w:p>
        </w:tc>
        <w:tc>
          <w:tcPr>
            <w:tcW w:w="1632" w:type="dxa"/>
            <w:vAlign w:val="top"/>
          </w:tcPr>
          <w:p w:rsidR="002E3202" w:rsidRDefault="00391FE7">
            <w:pPr>
              <w:jc w:val="right"/>
            </w:pPr>
            <w:r>
              <w:t>65.000.000</w:t>
            </w:r>
          </w:p>
        </w:tc>
        <w:tc>
          <w:tcPr>
            <w:tcW w:w="1632" w:type="dxa"/>
            <w:vAlign w:val="top"/>
          </w:tcPr>
          <w:p w:rsidR="002E3202" w:rsidRDefault="00391FE7">
            <w:pPr>
              <w:jc w:val="right"/>
            </w:pPr>
            <w:r>
              <w:t>65.000.000</w:t>
            </w:r>
          </w:p>
        </w:tc>
        <w:tc>
          <w:tcPr>
            <w:tcW w:w="510" w:type="dxa"/>
            <w:vAlign w:val="top"/>
          </w:tcPr>
          <w:p w:rsidR="002E3202" w:rsidRDefault="00391FE7">
            <w:pPr>
              <w:jc w:val="right"/>
            </w:pPr>
            <w:r>
              <w:t>93,9</w:t>
            </w:r>
          </w:p>
        </w:tc>
      </w:tr>
    </w:tbl>
    <w:p w:rsidR="002E3202" w:rsidRDefault="002E3202">
      <w:pPr>
        <w:jc w:val="left"/>
      </w:pPr>
    </w:p>
    <w:p w:rsidR="002E3202" w:rsidRDefault="00391FE7">
      <w:r>
        <w:t xml:space="preserve">Navedena aktivnost provodi se kontinuirano dok postoji zakonska obveza/osnova. Na temelju Zakona o željeznici, naknada za financiranje željezničke infrastrukture uplaćuje se po litri naplaćene trošarine na energente i to u iznosu od 0,03 EUR na račun društva HŽ Infrastruktura d.o.o. (u daljnjem tekstu HŽI). Društvo HŽI u narednim godinama planira sredstva utrošiti na podmirenje troškova održavanja željezničke infrastrukture i podmirenje dijela troškova upravljanja društvom HŽI.   </w:t>
      </w:r>
    </w:p>
    <w:p w:rsidR="002E3202" w:rsidRDefault="00391FE7">
      <w:r>
        <w:t xml:space="preserve">Izgradnjom i investicijskim održavanjem željezničkih pruga značajno se doprinosi povećanju kvalitete željezničke infrastrukture, a samim time dolazi do poboljšanja kvalitete usluge željezničkog prometa (primjerice, smanjuje se zakašnjenje vlakova i povećava se sigurnost željezničkog prometa).  </w:t>
      </w:r>
    </w:p>
    <w:p w:rsidR="002E3202" w:rsidRDefault="00391FE7">
      <w:r>
        <w:t>Planirana proračunska sredstva od naknade u cijeni goriva društvo HŽI iskoristiti će za održavanje tehničko-tehnološke razine postojeće željezničke infrastrukture, za financiranje dijela troškova upravljanja željezničkom infrastrukturom i otplatu dijela zajma EBRD.</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Broj kilometara obnovljenih i moderniziranih pruga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Povećanjem broja km obnovljenih i moderniziranih postiže se viša razina usluge željezničke infrastrukture</w:t>
            </w:r>
          </w:p>
        </w:tc>
        <w:tc>
          <w:tcPr>
            <w:tcW w:w="918" w:type="dxa"/>
          </w:tcPr>
          <w:p w:rsidR="002E3202" w:rsidRDefault="00391FE7">
            <w:pPr>
              <w:jc w:val="center"/>
            </w:pPr>
            <w:r>
              <w:t>km</w:t>
            </w:r>
          </w:p>
        </w:tc>
        <w:tc>
          <w:tcPr>
            <w:tcW w:w="918" w:type="dxa"/>
          </w:tcPr>
          <w:p w:rsidR="002E3202" w:rsidRDefault="00391FE7">
            <w:pPr>
              <w:jc w:val="center"/>
            </w:pPr>
            <w:r>
              <w:t>75,98</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57,88</w:t>
            </w:r>
          </w:p>
        </w:tc>
        <w:tc>
          <w:tcPr>
            <w:tcW w:w="918" w:type="dxa"/>
          </w:tcPr>
          <w:p w:rsidR="002E3202" w:rsidRDefault="00391FE7">
            <w:pPr>
              <w:jc w:val="center"/>
            </w:pPr>
            <w:r>
              <w:t>97,66</w:t>
            </w:r>
          </w:p>
        </w:tc>
        <w:tc>
          <w:tcPr>
            <w:tcW w:w="918" w:type="dxa"/>
          </w:tcPr>
          <w:p w:rsidR="002E3202" w:rsidRDefault="00391FE7">
            <w:pPr>
              <w:jc w:val="center"/>
            </w:pPr>
            <w:r>
              <w:t>99,80</w:t>
            </w:r>
          </w:p>
        </w:tc>
      </w:tr>
    </w:tbl>
    <w:p w:rsidR="002E3202" w:rsidRDefault="002E3202">
      <w:pPr>
        <w:jc w:val="left"/>
      </w:pPr>
    </w:p>
    <w:p w:rsidR="002E3202" w:rsidRDefault="00391FE7">
      <w:pPr>
        <w:pStyle w:val="Heading4"/>
      </w:pPr>
      <w:r>
        <w:t>A820082 FINANCIRANJE I SUFINANCIRANJE GRAĐENJA, MODERNIZACIJE I OBNOVE ŽELJEZNIČKE INFRASTRUKTURE</w:t>
      </w:r>
    </w:p>
    <w:p w:rsidR="002E3202" w:rsidRDefault="00391FE7">
      <w:pPr>
        <w:pStyle w:val="Heading8"/>
        <w:jc w:val="left"/>
      </w:pPr>
      <w:r>
        <w:t>Zakonske i druge pravne osnove</w:t>
      </w:r>
    </w:p>
    <w:p w:rsidR="002E3202" w:rsidRDefault="00391FE7">
      <w:r>
        <w:t xml:space="preserve">- Zakon o željeznici, članak 18.  </w:t>
      </w:r>
    </w:p>
    <w:p w:rsidR="002E3202" w:rsidRDefault="00391FE7">
      <w:r>
        <w:t xml:space="preserve">- Strategija prometnog razvoja Republike Hrvatske za razdoblje od 2017. do 2030. godine  </w:t>
      </w:r>
    </w:p>
    <w:p w:rsidR="002E3202" w:rsidRDefault="00391FE7">
      <w:r>
        <w:t xml:space="preserve">- Nacionalni program željezničke infrastrukture za razdoblje od 2016. do 2020. godine </w:t>
      </w:r>
    </w:p>
    <w:p w:rsidR="002E3202" w:rsidRDefault="00391FE7">
      <w:r>
        <w:t xml:space="preserve">- Nacionalna razvojna strategija Republike Hrvatske do 2030. godine (NRS 2030.) </w:t>
      </w:r>
    </w:p>
    <w:p w:rsidR="002E3202" w:rsidRDefault="00391FE7">
      <w:r>
        <w:t xml:space="preserve">- Nacionalni program reformi (NPR 2020.)Zakon o sustavu strateškog planiranja i upravljanja razvojem Republike Hrvatske </w:t>
      </w:r>
    </w:p>
    <w:p w:rsidR="002E3202" w:rsidRDefault="00391FE7">
      <w:r>
        <w:t xml:space="preserve">- Strategija razvoja željezničkog sustava Republike Hrvatske do 2032. godine </w:t>
      </w:r>
    </w:p>
    <w:p w:rsidR="002E3202" w:rsidRDefault="00391FE7">
      <w:r>
        <w:t xml:space="preserve">- Nacionalni plan upravljanja željezničkom infrastrukturom i uslužnim objektima i razvoja usluga željezničkog prijevoza za razdoblje do 2030. godine </w:t>
      </w:r>
    </w:p>
    <w:p w:rsidR="002E3202" w:rsidRDefault="00391FE7">
      <w:r>
        <w:t xml:space="preserve">- Nacionalni plan razvoja željezničke infrastrukture za razdoblje do 2030. godine </w:t>
      </w:r>
    </w:p>
    <w:p w:rsidR="002E3202" w:rsidRDefault="00391FE7">
      <w:r>
        <w:t>- Program rješavanja željezničko-cestovnih i pješačkih prijelaza preko pruge za razdoblje od 2023. do 2027. godine.</w:t>
      </w:r>
    </w:p>
    <w:tbl>
      <w:tblPr>
        <w:tblStyle w:val="StilTablice"/>
        <w:tblW w:w="10206" w:type="dxa"/>
        <w:jc w:val="center"/>
        <w:tblLook w:val="04A0" w:firstRow="1" w:lastRow="0" w:firstColumn="1" w:lastColumn="0" w:noHBand="0" w:noVBand="1"/>
      </w:tblPr>
      <w:tblGrid>
        <w:gridCol w:w="1453"/>
        <w:gridCol w:w="1535"/>
        <w:gridCol w:w="1556"/>
        <w:gridCol w:w="1556"/>
        <w:gridCol w:w="1568"/>
        <w:gridCol w:w="1568"/>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A820082</w:t>
            </w:r>
          </w:p>
        </w:tc>
        <w:tc>
          <w:tcPr>
            <w:tcW w:w="1632" w:type="dxa"/>
            <w:vAlign w:val="top"/>
          </w:tcPr>
          <w:p w:rsidR="002E3202" w:rsidRDefault="00391FE7">
            <w:pPr>
              <w:jc w:val="right"/>
            </w:pPr>
            <w:r>
              <w:t>00</w:t>
            </w:r>
          </w:p>
        </w:tc>
        <w:tc>
          <w:tcPr>
            <w:tcW w:w="1632" w:type="dxa"/>
            <w:vAlign w:val="top"/>
          </w:tcPr>
          <w:p w:rsidR="002E3202" w:rsidRDefault="00391FE7">
            <w:pPr>
              <w:jc w:val="right"/>
            </w:pPr>
            <w:r>
              <w:t>23.267.453</w:t>
            </w:r>
          </w:p>
        </w:tc>
        <w:tc>
          <w:tcPr>
            <w:tcW w:w="1632" w:type="dxa"/>
            <w:vAlign w:val="top"/>
          </w:tcPr>
          <w:p w:rsidR="002E3202" w:rsidRDefault="00391FE7">
            <w:pPr>
              <w:jc w:val="right"/>
            </w:pPr>
            <w:r>
              <w:t>96.100.000</w:t>
            </w:r>
          </w:p>
        </w:tc>
        <w:tc>
          <w:tcPr>
            <w:tcW w:w="1632" w:type="dxa"/>
            <w:vAlign w:val="top"/>
          </w:tcPr>
          <w:p w:rsidR="002E3202" w:rsidRDefault="00391FE7">
            <w:pPr>
              <w:jc w:val="right"/>
            </w:pPr>
            <w:r>
              <w:t>130.341.000</w:t>
            </w:r>
          </w:p>
        </w:tc>
        <w:tc>
          <w:tcPr>
            <w:tcW w:w="1632" w:type="dxa"/>
            <w:vAlign w:val="top"/>
          </w:tcPr>
          <w:p w:rsidR="002E3202" w:rsidRDefault="00391FE7">
            <w:pPr>
              <w:jc w:val="right"/>
            </w:pPr>
            <w:r>
              <w:t>168.000.000</w:t>
            </w:r>
          </w:p>
        </w:tc>
        <w:tc>
          <w:tcPr>
            <w:tcW w:w="510" w:type="dxa"/>
            <w:vAlign w:val="top"/>
          </w:tcPr>
          <w:p w:rsidR="002E3202" w:rsidRDefault="00391FE7">
            <w:pPr>
              <w:jc w:val="right"/>
            </w:pPr>
            <w:r>
              <w:t>413,0</w:t>
            </w:r>
          </w:p>
        </w:tc>
      </w:tr>
    </w:tbl>
    <w:p w:rsidR="002E3202" w:rsidRDefault="002E3202">
      <w:pPr>
        <w:jc w:val="left"/>
      </w:pPr>
    </w:p>
    <w:p w:rsidR="002E3202" w:rsidRDefault="00391FE7">
      <w:r>
        <w:t xml:space="preserve">Navedena financijska sredstva će se utrošiti na financiranje i sufinanciranje građenja, modernizacije i obnove željezničke infrastrukture i koristit će se isključivo za troškove provedbe programa obnove i modernizacije pruga za lokalni, regionalni i međunarodni promet, troškove provedbe programa obnove i modernizacije željezničkog čvora Zagreb, troškove programa aktivnosti u funkciji infrastrukture i prometa na mreži kao cjeline, te troškove programa izgradnje novih pruga i kolosijeka, kako slijedi: rješavanje imovinskopravnih odnosa (izvlaštenja, procjene, otkupi, javni bilježnici i dr.), plaćanje pristojbi, naknada, doprinosa, dozvola, priključaka za vodovod, kanalizaciju, plinsku i elektromrežu, certifikate, sporazume, izmjene prostornih planova, usluge projektiranja, tehničku dokumentaciju, troškove radova, financiranje utvrđene razlike u cijeni radova, troškove usluge nadzora nad radovima, izradu studijske/projektne dokumentacije i sve ostale troškove vezane za provedbu programa/projekata.  </w:t>
      </w:r>
    </w:p>
    <w:p w:rsidR="002E3202" w:rsidRDefault="00391FE7">
      <w:r>
        <w:t xml:space="preserve">Investicijski projekti u okviru ove aktivnosti će se financirati (izvor 11), kako slijedi po godinama: </w:t>
      </w:r>
    </w:p>
    <w:p w:rsidR="002E3202" w:rsidRDefault="00391FE7">
      <w:r>
        <w:t xml:space="preserve">- 2024. – 23.400.000,00 EUR </w:t>
      </w:r>
    </w:p>
    <w:p w:rsidR="002E3202" w:rsidRDefault="00391FE7">
      <w:r>
        <w:t xml:space="preserve">- 2025. – 24.400.000,00 EUR </w:t>
      </w:r>
    </w:p>
    <w:p w:rsidR="002E3202" w:rsidRDefault="00391FE7">
      <w:r>
        <w:t xml:space="preserve">- 2026. – 23.584.000,00 EUR </w:t>
      </w:r>
    </w:p>
    <w:p w:rsidR="002E3202" w:rsidRDefault="00391FE7">
      <w:r>
        <w:t xml:space="preserve">u okviru ove aktivnosti će se financirati i/ili sufinancirani iz okvirnog zajma Europske investicijske banke ( izvor 810) kako slijedi prema godinama: </w:t>
      </w:r>
    </w:p>
    <w:p w:rsidR="002E3202" w:rsidRDefault="00391FE7">
      <w:r>
        <w:t xml:space="preserve">- 2024. –   72.700.000,00 EUR </w:t>
      </w:r>
    </w:p>
    <w:p w:rsidR="002E3202" w:rsidRDefault="00391FE7">
      <w:r>
        <w:t xml:space="preserve">- 2025. – 105.941.000,00 EUR </w:t>
      </w:r>
    </w:p>
    <w:p w:rsidR="002E3202" w:rsidRDefault="00391FE7">
      <w:r>
        <w:t xml:space="preserve">- 2026. – 144.416.000,00 EUR </w:t>
      </w:r>
    </w:p>
    <w:p w:rsidR="002E3202" w:rsidRDefault="00391FE7">
      <w:r>
        <w:t>Dio sredstava je predviđen za adekvatno zbrinjavanje otpadnih željezničkih pragova u skladu sa svim važećim zakonskim normativnim aktima Republike Hrvatske.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završenih projekata (godišnja vrijednost)</w:t>
            </w:r>
          </w:p>
        </w:tc>
        <w:tc>
          <w:tcPr>
            <w:tcW w:w="2245" w:type="dxa"/>
            <w:vAlign w:val="top"/>
          </w:tcPr>
          <w:p w:rsidR="002E3202" w:rsidRDefault="00391FE7">
            <w:pPr>
              <w:pStyle w:val="CellColumn"/>
              <w:jc w:val="left"/>
            </w:pPr>
            <w:r>
              <w:rPr>
                <w:rFonts w:cs="Times New Roman"/>
              </w:rPr>
              <w:t>Broj završenih projekata za modernizaciju, rekonstrukciju i izgradnju željezničke pruge i unaprjeđenje željezničke infrastrukture</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0</w:t>
            </w:r>
          </w:p>
        </w:tc>
        <w:tc>
          <w:tcPr>
            <w:tcW w:w="918" w:type="dxa"/>
          </w:tcPr>
          <w:p w:rsidR="002E3202" w:rsidRDefault="00391FE7">
            <w:pPr>
              <w:jc w:val="center"/>
            </w:pPr>
            <w:r>
              <w:t>25</w:t>
            </w:r>
          </w:p>
        </w:tc>
        <w:tc>
          <w:tcPr>
            <w:tcW w:w="918" w:type="dxa"/>
          </w:tcPr>
          <w:p w:rsidR="002E3202" w:rsidRDefault="00391FE7">
            <w:pPr>
              <w:jc w:val="center"/>
            </w:pPr>
            <w:r>
              <w:t>7</w:t>
            </w:r>
          </w:p>
        </w:tc>
      </w:tr>
    </w:tbl>
    <w:p w:rsidR="002E3202" w:rsidRDefault="002E3202">
      <w:pPr>
        <w:jc w:val="left"/>
      </w:pPr>
    </w:p>
    <w:p w:rsidR="002E3202" w:rsidRDefault="00391FE7">
      <w:pPr>
        <w:pStyle w:val="Heading4"/>
      </w:pPr>
      <w:r>
        <w:t>T754034 POTPORA TRGOVAČKIM DRUŠTVIMA U JAVNOM SEKTORU U PRIPREMI I PROVEDBI PROJEKATA PLANIRANIH ZA SUFINANCIRANJE IZ EU FONDOVA</w:t>
      </w:r>
    </w:p>
    <w:p w:rsidR="002E3202" w:rsidRDefault="00391FE7">
      <w:pPr>
        <w:pStyle w:val="Heading8"/>
        <w:jc w:val="left"/>
      </w:pPr>
      <w:r>
        <w:t>Zakonske i druge pravne osnove</w:t>
      </w:r>
    </w:p>
    <w:p w:rsidR="002E3202" w:rsidRDefault="00391FE7">
      <w:r>
        <w:t xml:space="preserve">- Zakon o željeznici, članak 18.   </w:t>
      </w:r>
    </w:p>
    <w:p w:rsidR="002E3202" w:rsidRDefault="00391FE7">
      <w:r>
        <w:t xml:space="preserve">- Strategija prometnog razvoja Republike Hrvatske za razdoblje od 2017. do 2030. godine  </w:t>
      </w:r>
    </w:p>
    <w:p w:rsidR="002E3202" w:rsidRDefault="00391FE7">
      <w:r>
        <w:t xml:space="preserve">- Nacionalni program željezničke infrastrukture za razdoblje od 2016. do 2020. godine </w:t>
      </w:r>
    </w:p>
    <w:p w:rsidR="002E3202" w:rsidRDefault="00391FE7">
      <w:r>
        <w:t xml:space="preserve">- Nacionalna razvojna strategija Republike Hrvatske do 2030. godine (NRS 2030.) </w:t>
      </w:r>
    </w:p>
    <w:p w:rsidR="002E3202" w:rsidRDefault="00391FE7">
      <w:r>
        <w:t xml:space="preserve">- Nacionalni program reformi (NPR 2020.) </w:t>
      </w:r>
    </w:p>
    <w:p w:rsidR="002E3202" w:rsidRDefault="00391FE7">
      <w:r>
        <w:t xml:space="preserve">- Operativni program Konkurentnost i kohezija 2014. - 2020. (OPKK) </w:t>
      </w:r>
    </w:p>
    <w:p w:rsidR="002E3202" w:rsidRDefault="00391FE7">
      <w:r>
        <w:t xml:space="preserve">- Program Konkurentnost i kohezija 2021. - 2027. (PKK) </w:t>
      </w:r>
    </w:p>
    <w:p w:rsidR="002E3202" w:rsidRDefault="00391FE7">
      <w:r>
        <w:t xml:space="preserve">- Nacionalni plan oporavka i otpornosti 2021. – 2026. </w:t>
      </w:r>
    </w:p>
    <w:p w:rsidR="002E3202" w:rsidRDefault="00391FE7">
      <w:r>
        <w:t xml:space="preserve">- Zakon o sustavu strateškog planiranja i upravljanja razvojem Republike Hrvatske </w:t>
      </w:r>
    </w:p>
    <w:p w:rsidR="002E3202" w:rsidRDefault="00391FE7">
      <w:r>
        <w:t xml:space="preserve">- Strategija razvoja željezničkog sustava Republike Hrvatske do 2032. godine </w:t>
      </w:r>
    </w:p>
    <w:p w:rsidR="002E3202" w:rsidRDefault="00391FE7">
      <w:r>
        <w:t xml:space="preserve">- Nacionalni plan upravljanja željezničkom infrastrukturom i uslužnim objektima i razvoja   </w:t>
      </w:r>
    </w:p>
    <w:p w:rsidR="002E3202" w:rsidRDefault="00391FE7">
      <w:r>
        <w:t xml:space="preserve">   usluga željezničkog prijevoza za razdoblje do 2030. godine </w:t>
      </w:r>
    </w:p>
    <w:p w:rsidR="002E3202" w:rsidRDefault="00391FE7">
      <w:r>
        <w:t xml:space="preserve">- Nacionalni plan razvoja željezničke infrastrukture za razdoblje do 2030. godine </w:t>
      </w:r>
    </w:p>
    <w:p w:rsidR="002E3202" w:rsidRDefault="00391FE7">
      <w:r>
        <w:t xml:space="preserve">- Program rješavanja željezničko-cestovnih i pješačkih prijelaza preko pruge za razdoblje od   </w:t>
      </w:r>
    </w:p>
    <w:p w:rsidR="002E3202" w:rsidRDefault="00391FE7">
      <w:r>
        <w:t xml:space="preserve">   2023. do 2027. godine </w:t>
      </w:r>
    </w:p>
    <w:p w:rsidR="002E3202" w:rsidRDefault="00391FE7">
      <w:r>
        <w:t xml:space="preserve">- Ugovor o dodjeli bespovratnih sredstava za projekt „Rekonstrukcija postojećeg i izgradnja drugog kolosijeka na dionici Hrvatski Leskovac - Karlovac na željezničkoj pruzi M202 Zagreb GK - Rijeka“  </w:t>
      </w:r>
    </w:p>
    <w:p w:rsidR="002E3202" w:rsidRDefault="00391FE7">
      <w:r>
        <w:t xml:space="preserve">- Ugovor o dodjeli bespovratnih sredstava za projekt „Izrada studijske i projektne dokumentacije za modernizaciju željezničke pruge M202 Zagreb Glavni kolodvor, dionica Karlovac - Oštarije“  </w:t>
      </w:r>
    </w:p>
    <w:p w:rsidR="002E3202" w:rsidRDefault="00391FE7">
      <w:r>
        <w:t xml:space="preserve">- Ugovor o dodjeli bespovratnih sredstava za projekt „Nadogradnja i elektrifikacija postojeće željezničke pruge od značaja za međunarodni promet M601 Vinkovci - Vukovar“  </w:t>
      </w:r>
    </w:p>
    <w:p w:rsidR="002E3202" w:rsidRDefault="00391FE7">
      <w:r>
        <w:t xml:space="preserve">- Ugovor o dodjeli bespovratnih sredstava za projekt „Modernizacija i elektrifikacija željezničke pruge Zaprešić - Čakovec (R201) na dionici Zaprešić (isključivo) - Zabok (uključivo)“ </w:t>
      </w:r>
    </w:p>
    <w:p w:rsidR="002E3202" w:rsidRDefault="00391FE7">
      <w:r>
        <w:t>- Ugovor o dodjeli bespovratnih sredstava za projekt „Projekt osiguranja i modernizacije željezničko-cestovnih prijelaza“.</w:t>
      </w:r>
    </w:p>
    <w:tbl>
      <w:tblPr>
        <w:tblStyle w:val="StilTablice"/>
        <w:tblW w:w="10206" w:type="dxa"/>
        <w:jc w:val="center"/>
        <w:tblLook w:val="04A0" w:firstRow="1" w:lastRow="0" w:firstColumn="1" w:lastColumn="0" w:noHBand="0" w:noVBand="1"/>
      </w:tblPr>
      <w:tblGrid>
        <w:gridCol w:w="1459"/>
        <w:gridCol w:w="1551"/>
        <w:gridCol w:w="1551"/>
        <w:gridCol w:w="1562"/>
        <w:gridCol w:w="1562"/>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T754034</w:t>
            </w:r>
          </w:p>
        </w:tc>
        <w:tc>
          <w:tcPr>
            <w:tcW w:w="1632" w:type="dxa"/>
            <w:vAlign w:val="top"/>
          </w:tcPr>
          <w:p w:rsidR="002E3202" w:rsidRDefault="00391FE7">
            <w:pPr>
              <w:jc w:val="right"/>
            </w:pPr>
            <w:r>
              <w:t>3.782.957</w:t>
            </w:r>
          </w:p>
        </w:tc>
        <w:tc>
          <w:tcPr>
            <w:tcW w:w="1632" w:type="dxa"/>
            <w:vAlign w:val="top"/>
          </w:tcPr>
          <w:p w:rsidR="002E3202" w:rsidRDefault="00391FE7">
            <w:pPr>
              <w:jc w:val="right"/>
            </w:pPr>
            <w:r>
              <w:t>5.844.928</w:t>
            </w:r>
          </w:p>
        </w:tc>
        <w:tc>
          <w:tcPr>
            <w:tcW w:w="1632" w:type="dxa"/>
            <w:vAlign w:val="top"/>
          </w:tcPr>
          <w:p w:rsidR="002E3202" w:rsidRDefault="00391FE7">
            <w:pPr>
              <w:jc w:val="right"/>
            </w:pPr>
            <w:r>
              <w:t>10.173.700</w:t>
            </w:r>
          </w:p>
        </w:tc>
        <w:tc>
          <w:tcPr>
            <w:tcW w:w="1632" w:type="dxa"/>
            <w:vAlign w:val="top"/>
          </w:tcPr>
          <w:p w:rsidR="002E3202" w:rsidRDefault="00391FE7">
            <w:pPr>
              <w:jc w:val="right"/>
            </w:pPr>
            <w:r>
              <w:t>10.092.261</w:t>
            </w:r>
          </w:p>
        </w:tc>
        <w:tc>
          <w:tcPr>
            <w:tcW w:w="1632" w:type="dxa"/>
            <w:vAlign w:val="top"/>
          </w:tcPr>
          <w:p w:rsidR="002E3202" w:rsidRDefault="00391FE7">
            <w:pPr>
              <w:jc w:val="right"/>
            </w:pPr>
            <w:r>
              <w:t>9.483.231</w:t>
            </w:r>
          </w:p>
        </w:tc>
        <w:tc>
          <w:tcPr>
            <w:tcW w:w="510" w:type="dxa"/>
            <w:vAlign w:val="top"/>
          </w:tcPr>
          <w:p w:rsidR="002E3202" w:rsidRDefault="00391FE7">
            <w:pPr>
              <w:jc w:val="right"/>
            </w:pPr>
            <w:r>
              <w:t>174,1</w:t>
            </w:r>
          </w:p>
        </w:tc>
      </w:tr>
    </w:tbl>
    <w:p w:rsidR="002E3202" w:rsidRDefault="002E3202">
      <w:pPr>
        <w:jc w:val="left"/>
      </w:pPr>
    </w:p>
    <w:p w:rsidR="002E3202" w:rsidRDefault="00391FE7">
      <w:r>
        <w:t xml:space="preserve">Navedena aktivnost provodi se kontinuirano u svrhu potpore trgovačkim društvima u javnom sektoru u pripremi i provedbi projekata planiranih za sufinanciranje iz EU fondova. Za provedbu željezničkih infrastrukturnih projekata (projektiranje i radovi), koji se sufinanciraju iz sredstava EU, potrebno je osigurati financijska sredstva za troškove koji su neprihvatljivi za sufinanciranje iz EU sredstava, prema EU regulativi i uvjetima za prihvatljivost troškova, i/ili osigurati plaćanja iz nacionalnih sredstava za završetak projekata (IPA ugovori i dodaci ugovorima). Financijska sredstava će se koristiti za: rješavanje imovinsko-pravnih odnosa (izvlaštenja, procjene vještaka, otkupi, javni bilježnik), završetak IPA ugovora i dodataka ugovorima, plaćanje pristojbi, naknada, doprinosa, dozvola, priključaka za vodovod, kanalizaciju, plinsku i električnu mrežu, sporazume, izmjenu prostornih planova, usluge projektiranja, izradu tehničke dokumentacije, arheološke radove i dokumentaciju, vantroškovničke/dodatne radove, radove na izgradnji/rekonstrukciji kolodvorskih zgrada/parkirališta, troškove usluge nadzora nad radovima, troškove za rješavanje sporova i povezanih troškova po odlukama o rješavanju sporova, nepriznate troškove u provedbi projekata prema odlukama/obavijesti o nepravilnostima, podmirenje financijskog jaza za projekte financirane iz EU fondova, pojačanje snage u 6 kolodvora za punjenje baterijskih vlakova za primjenu zelenih tehnologija u željezničkom putničkom prijevozu (nositelj HŽPP d.o.o.), financiranje utvrđene razlike u cijeni radova, interne plaće radnika, troškove službenih putovanja i prateće troškove, troškove promidžbe i vidljivosti te ostale neprihvatljive troškove. </w:t>
      </w:r>
    </w:p>
    <w:p w:rsidR="002E3202" w:rsidRDefault="00391FE7">
      <w:r>
        <w:t xml:space="preserve">Sukladno Nacionalnom planu oporavka i otpornosti 2021. – 2026. točka C1.4. R2-I6 Primjena zelenih tehnologija u željezničkom putničkom prijevozu, odobren je projekt razvoja baterijskih vlakova.  </w:t>
      </w:r>
    </w:p>
    <w:p w:rsidR="002E3202" w:rsidRDefault="00391FE7">
      <w:r>
        <w:t xml:space="preserve">Sredstva za navedeni projekt će se u obliku potpore dodjeljivati društvu HŽ Infrastruktura d.o.o. za uvođenje zelenih tehnologija - pojačanje snage u kolodvorima za punjenje baterijskih vlakova, a ugovor za nabavu baterijskih vlakova i stabilnih energetskih priključaka za punjenje pogonskih baterija je potpisan početkom 2023. godine od strane društva HŽ Putnički prijevoz d.o.o.. Projekt je započeo 2023. godine, a predviđeno je trajanje projekta do kraja 2024. godine. </w:t>
      </w:r>
    </w:p>
    <w:p w:rsidR="002E3202" w:rsidRDefault="00391FE7">
      <w:r>
        <w:t xml:space="preserve">Projekt se sastoji od razvoja dva prototipa vlakova (prototip baterijskog elektromotornog vlaka (BEMV) i prototip baterijskoga motornog vlaka (BMV)) te šest stabilnih energetskih priključaka za punjenje pogonskih baterija u kolodvorima Varaždin, Bjelovar, Virovitica, Osijek, Split Predgrađe i Pula. </w:t>
      </w:r>
    </w:p>
    <w:p w:rsidR="002E3202" w:rsidRDefault="00391FE7">
      <w:r>
        <w:t xml:space="preserve">Analizom tehničkih karakteristika vlaka, vlaku potrebnih baterija i potrebne brzine punjenja baterija, ustanovljeno je kako ni jedan od navedenih kolodvora nema dovoljnu snagu električne energije (1 MW), kojom bi se putem stabilnih priključaka napunile pogonske baterije navedenih vlakova u traženom vremenu te je nužno od HEP-a dokupiti potrebnu angažiranu snagu. Kroz višegodišnje razdoblje projekta provedbe, potrebno je osigurati ukupno 1.161.086,40 EUR. </w:t>
      </w:r>
    </w:p>
    <w:p w:rsidR="002E3202" w:rsidRDefault="00391FE7">
      <w:r>
        <w:t xml:space="preserve">U 2024. godini 10.173.700 EUR planirano je za sljedeće projekte: Nadogradnja i elektrifikacija željezničke pruge Vinkovci - Vukovar, Modernizacija i elektrifikacija dionice Zaprešić - Zabok, pruga Zaprešić - Čakovec, Rekonstrukcija postojećeg i izgradnja drugog kolosijeka na dionici Hrvatski Leskovac - Karlovac na željezničkoj pruzi M202 Zagreb GK - Rijeka, Izrada studijske i projektne dokumentacije za modernizaciju željezničke pruge M202 Zagreb GK - Rijeka, dionica Karlovac - Oštarije, Rekonstrukcija postojećeg i izgradnja drugog kolosijeka odnosno nove dvokolosiječne pruge na dijelovima željezničke  pruge Dugo Selo - Novska, Projekt osiguranja i modernizacije željezničko-cestovnih prijelaza, Uvođenje zelenih tehnologija - pojačanje snage u kolodvorima za punjenje baterijskih vlakova, Izrada projektne i ostale dokumentacije za izgradnju drugog kolosijeka, modernizaciju i obnovu na dionici željezničke pruge Škrljevo - Rijeka - Jurdani.  </w:t>
      </w:r>
    </w:p>
    <w:p w:rsidR="002E3202" w:rsidRDefault="00391FE7">
      <w:r>
        <w:t xml:space="preserve">U 2025. godini 10.092.261 EUR planirano je za sljedeće projekte: nastavak projekata - Rekonstrukcija postojećeg i izgradnja drugog kolosijeka na dionici Hrvatski Leskovac - Karlovac na željezničkoj pruzi M202 Zagreb GK - Rijeka, Izrada studijske i projektne dokumentacije za modernizaciju željezničke pruge M202 Zagreb GK - Rijeka, dionica Karlovac - Oštarije, Rekonstrukcija postojećeg i izgradnja drugog kolosijeka odnosno nove dvokolosiječne pruge na dijelovima željezničke pruge Dugo Selo - Novska, Projekt osiguranja i modernizacije željezničko-cestovnih prijelaza, Izrada projektne i ostale dokumentacije za izgradnju drugog kolosijeka, modernizaciju i obnovu na dionici željezničke pruge Škrljevo - Rijeka - Jurdani. </w:t>
      </w:r>
    </w:p>
    <w:p w:rsidR="002E3202" w:rsidRDefault="00391FE7">
      <w:r>
        <w:t>U 2026. godini 9.483.231 EUR planirano je za sljedeće projekte: nastavak projekata - Rekonstrukcija postojećeg i izgradnja drugog kolosijeka na dionici Hrvatski Leskovac - Karlovac na željezničkoj pruzi M202 Zagreb GK - Rijeka, Izrada studijske i projektne dokumentacije za modernizaciju željezničke pruge M202 Zagreb GK - Rijeka, dionica Karlovac - Oštarije, Rekonstrukcija postojećeg i izgradnja drugog kolosijeka odnosno nove dvokolosiječne pruge na dijelovima željezničke pruge Dugo Selo - Novska, Projekt osiguranja i modernizacije željezničko-cestovnih prijelaza, Izrada projektne i ostale dokumentacije za izgradnju drugog kolosijeka, modernizaciju i obnovu na dionici željezničke pruge Škrljevo - Rijeka - Jurdani.</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Izrađena tehnička dokumentacija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Pripremljena tehnička dokumentacija u cilju osiguranja za apliciranje na pozive za sufinanciranje iz EU sredstava radi daljnjeg nastavka projekta i izvođenja radova za poboljšanja i modernizacije željezničke infrastrukture</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1</w:t>
            </w:r>
          </w:p>
        </w:tc>
        <w:tc>
          <w:tcPr>
            <w:tcW w:w="918" w:type="dxa"/>
          </w:tcPr>
          <w:p w:rsidR="002E3202" w:rsidRDefault="00391FE7">
            <w:pPr>
              <w:jc w:val="center"/>
            </w:pPr>
            <w:r>
              <w:t>0</w:t>
            </w:r>
          </w:p>
        </w:tc>
        <w:tc>
          <w:tcPr>
            <w:tcW w:w="918" w:type="dxa"/>
          </w:tcPr>
          <w:p w:rsidR="002E3202" w:rsidRDefault="00391FE7">
            <w:pPr>
              <w:jc w:val="center"/>
            </w:pPr>
            <w:r>
              <w:t>1</w:t>
            </w:r>
          </w:p>
        </w:tc>
      </w:tr>
      <w:tr w:rsidR="002E3202">
        <w:trPr>
          <w:jc w:val="center"/>
        </w:trPr>
        <w:tc>
          <w:tcPr>
            <w:tcW w:w="2245" w:type="dxa"/>
            <w:vAlign w:val="top"/>
          </w:tcPr>
          <w:p w:rsidR="002E3202" w:rsidRDefault="00391FE7">
            <w:pPr>
              <w:pStyle w:val="CellColumn"/>
              <w:jc w:val="left"/>
            </w:pPr>
            <w:r>
              <w:rPr>
                <w:rFonts w:cs="Times New Roman"/>
              </w:rPr>
              <w:t xml:space="preserve">Izvedeni radovi na željezničkim prugama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Izvedeni radovi za modernizaciju, rekonstrukciju i izgradnju željezničke pruge i unaprijeđenje željezničke infrastrukture</w:t>
            </w:r>
          </w:p>
        </w:tc>
        <w:tc>
          <w:tcPr>
            <w:tcW w:w="918" w:type="dxa"/>
          </w:tcPr>
          <w:p w:rsidR="002E3202" w:rsidRDefault="00391FE7">
            <w:pPr>
              <w:jc w:val="center"/>
            </w:pPr>
            <w:r>
              <w:t>km</w:t>
            </w:r>
          </w:p>
        </w:tc>
        <w:tc>
          <w:tcPr>
            <w:tcW w:w="918" w:type="dxa"/>
          </w:tcPr>
          <w:p w:rsidR="002E3202" w:rsidRDefault="00391FE7">
            <w:pPr>
              <w:jc w:val="center"/>
            </w:pPr>
            <w:r>
              <w:t>23,9</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0</w:t>
            </w:r>
          </w:p>
        </w:tc>
        <w:tc>
          <w:tcPr>
            <w:tcW w:w="918" w:type="dxa"/>
          </w:tcPr>
          <w:p w:rsidR="002E3202" w:rsidRDefault="00391FE7">
            <w:pPr>
              <w:jc w:val="center"/>
            </w:pPr>
            <w:r>
              <w:t>0</w:t>
            </w:r>
          </w:p>
        </w:tc>
        <w:tc>
          <w:tcPr>
            <w:tcW w:w="918" w:type="dxa"/>
          </w:tcPr>
          <w:p w:rsidR="002E3202" w:rsidRDefault="00391FE7">
            <w:pPr>
              <w:jc w:val="center"/>
            </w:pPr>
            <w:r>
              <w:t>0</w:t>
            </w:r>
          </w:p>
        </w:tc>
      </w:tr>
      <w:tr w:rsidR="002E3202">
        <w:trPr>
          <w:jc w:val="center"/>
        </w:trPr>
        <w:tc>
          <w:tcPr>
            <w:tcW w:w="2245" w:type="dxa"/>
            <w:vAlign w:val="top"/>
          </w:tcPr>
          <w:p w:rsidR="002E3202" w:rsidRDefault="00391FE7">
            <w:pPr>
              <w:pStyle w:val="CellColumn"/>
              <w:jc w:val="left"/>
            </w:pPr>
            <w:r>
              <w:rPr>
                <w:rFonts w:cs="Times New Roman"/>
              </w:rPr>
              <w:t xml:space="preserve">Izvedeni radovi na željezničko-cestovnim prijelazima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Osigurani i modernizirani željezničko-cestovni prijelazi automatskim elektroničkim signalno-sigurnosnim uređajima na prugama za međunarodni, regionalni i lokalni promet</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35</w:t>
            </w:r>
          </w:p>
        </w:tc>
        <w:tc>
          <w:tcPr>
            <w:tcW w:w="918" w:type="dxa"/>
          </w:tcPr>
          <w:p w:rsidR="002E3202" w:rsidRDefault="00391FE7">
            <w:pPr>
              <w:jc w:val="center"/>
            </w:pPr>
            <w:r>
              <w:t>35</w:t>
            </w:r>
          </w:p>
        </w:tc>
        <w:tc>
          <w:tcPr>
            <w:tcW w:w="918" w:type="dxa"/>
          </w:tcPr>
          <w:p w:rsidR="002E3202" w:rsidRDefault="00391FE7">
            <w:pPr>
              <w:jc w:val="center"/>
            </w:pPr>
            <w:r>
              <w:t>25</w:t>
            </w:r>
          </w:p>
        </w:tc>
      </w:tr>
    </w:tbl>
    <w:p w:rsidR="002E3202" w:rsidRDefault="002E3202">
      <w:pPr>
        <w:jc w:val="left"/>
      </w:pPr>
    </w:p>
    <w:p w:rsidR="002E3202" w:rsidRDefault="00391FE7">
      <w:pPr>
        <w:pStyle w:val="Heading4"/>
      </w:pPr>
      <w:r>
        <w:t>T754048 POTPORA U PROVEDBI CEF PROJEKATA ŽELJEZNIČKOG SEKTORA</w:t>
      </w:r>
    </w:p>
    <w:p w:rsidR="002E3202" w:rsidRDefault="00391FE7">
      <w:pPr>
        <w:pStyle w:val="Heading8"/>
        <w:jc w:val="left"/>
      </w:pPr>
      <w:r>
        <w:t>Zakonske i druge pravne osnove</w:t>
      </w:r>
    </w:p>
    <w:p w:rsidR="002E3202" w:rsidRDefault="00391FE7">
      <w:r>
        <w:t xml:space="preserve">- Zakon o željeznici, članak 18.  </w:t>
      </w:r>
    </w:p>
    <w:p w:rsidR="002E3202" w:rsidRDefault="00391FE7">
      <w:r>
        <w:t xml:space="preserve">- Strategija prometnog razvoja Republike Hrvatske za razdoblje od 2017. do 2030. godine  </w:t>
      </w:r>
    </w:p>
    <w:p w:rsidR="002E3202" w:rsidRDefault="00391FE7">
      <w:r>
        <w:t xml:space="preserve">- Nacionalna razvojna strategija Republike Hrvatske do 2030. godine (NRS 2030.) </w:t>
      </w:r>
    </w:p>
    <w:p w:rsidR="002E3202" w:rsidRDefault="00391FE7">
      <w:r>
        <w:t xml:space="preserve">- Nacionalni program reformi (NPRR 2020.) </w:t>
      </w:r>
    </w:p>
    <w:p w:rsidR="002E3202" w:rsidRDefault="00391FE7">
      <w:r>
        <w:t xml:space="preserve">- Zakon o sustavu strateškog planiranja i upravljanja razvojem Republike Hrvatske </w:t>
      </w:r>
    </w:p>
    <w:p w:rsidR="002E3202" w:rsidRDefault="00391FE7">
      <w:r>
        <w:t xml:space="preserve">- Strategija razvoja željezničkog sustava Republike Hrvatske do 2032. godine </w:t>
      </w:r>
    </w:p>
    <w:p w:rsidR="002E3202" w:rsidRDefault="00391FE7">
      <w:r>
        <w:t xml:space="preserve">- Nacionalni plan upravljanja željezničkom infrastrukturom i uslužnim objektima i razvoja   </w:t>
      </w:r>
    </w:p>
    <w:p w:rsidR="002E3202" w:rsidRDefault="00391FE7">
      <w:r>
        <w:t xml:space="preserve">   usluga željezničkog prijevoza za razdoblje do 2030. godine </w:t>
      </w:r>
    </w:p>
    <w:p w:rsidR="002E3202" w:rsidRDefault="00391FE7">
      <w:r>
        <w:t xml:space="preserve">- Nacionalni plan razvoja željezničke infrastrukture za razdoblje do 2030. godine </w:t>
      </w:r>
    </w:p>
    <w:p w:rsidR="002E3202" w:rsidRDefault="00391FE7">
      <w:r>
        <w:t xml:space="preserve">- Program rješavanja željezničko-cestovnih i pješačkih prijelaza preko pruge za razdoblje od   </w:t>
      </w:r>
    </w:p>
    <w:p w:rsidR="002E3202" w:rsidRDefault="00391FE7">
      <w:r>
        <w:t xml:space="preserve">   2023. do 2027. godine </w:t>
      </w:r>
    </w:p>
    <w:p w:rsidR="002E3202" w:rsidRDefault="00391FE7">
      <w:r>
        <w:t xml:space="preserve">- Sporazum o dodjeli bespovratnih sredstava br. INEA/CEF/TRAN/M2016/1366913 za projekt „Izrada tehničke dokumentacije za modernizaciju željezničke dionice Oštarije - Škrljevo“  </w:t>
      </w:r>
    </w:p>
    <w:p w:rsidR="002E3202" w:rsidRDefault="00391FE7">
      <w:r>
        <w:t xml:space="preserve">- Sporazum o dodjeli bespovratnih sredstava br. INEA/CEF/TRAN/M2015/1126931 za projekt „Rekonstrukcija postojećeg i izgradnja drugog kolosijeka željezničke pruge na dionici Križevci - Koprivnica - državna granica“  </w:t>
      </w:r>
    </w:p>
    <w:p w:rsidR="002E3202" w:rsidRDefault="00391FE7">
      <w:r>
        <w:t xml:space="preserve">- Sporazum o dodjeli bespovratnih sredstava br. INEA/CEF/TRAN/M2016/1365734 za projekt „Izrada projektne dokumentacije za modernizaciju željezničke dionice Okučani - Vinkovci“  </w:t>
      </w:r>
    </w:p>
    <w:p w:rsidR="002E3202" w:rsidRDefault="00391FE7">
      <w:r>
        <w:t xml:space="preserve">- Sporazum o dodjeli bespovratnih sredstava br. INEA/CEF/TRAN/M2019/2097375 za projekt „Poboljšanje željezničke infrastrukture - uspostava sustava praćenja za sigurnost, osiguranje i tehničke kontrole“  </w:t>
      </w:r>
    </w:p>
    <w:p w:rsidR="002E3202" w:rsidRDefault="00391FE7">
      <w:r>
        <w:t xml:space="preserve">- Sporazum o dodjeli bespovratnih sredstava br. INEA/CEF/TRAN/M2020/2440898 za projekt „Modernizacija željezničke pruge na dionici Zagreb Glavni kolodvor - Hrvatski Leskovac - izrada dokumentacije“  </w:t>
      </w:r>
    </w:p>
    <w:p w:rsidR="002E3202" w:rsidRDefault="00391FE7">
      <w:r>
        <w:t xml:space="preserve">- Sporazum o dodjeli bespovratnih sredstava br. INEA/CEF/TRAN/M2020/2450353 za projekt „Izrada  studije razvoja željezničkog čvora Zagreb“ </w:t>
      </w:r>
    </w:p>
    <w:p w:rsidR="002E3202" w:rsidRDefault="00391FE7">
      <w:r>
        <w:t xml:space="preserve">- Sporazum o dodjeli bespovratnih sredstava za Projekt „Izrada idejnog projekta za novu dvokolosiječnu željezničku prugu na dionici Skradnik - Krasica - Tijani“; Akcija: 101122629 - 22-HR-TC-SKRKRTI - aktivnosti za sklapanje Sporazuma u tijeku </w:t>
      </w:r>
    </w:p>
    <w:p w:rsidR="002E3202" w:rsidRDefault="00391FE7">
      <w:r>
        <w:t>- Sporazum o dodjeli bespovratnih sredstava za Projekt „Rekonstrukcija  postojećeg i izgradnja drugog kolosijeka željezničke pruge Dugo Selo - Novska na dionici Ivanić Grad - Kutina", Akcija 101122716 - 22-HR-TC-DSNOV - aktivnosti za sklapanje Sporazuma u tijeku.</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T754048</w:t>
            </w:r>
          </w:p>
        </w:tc>
        <w:tc>
          <w:tcPr>
            <w:tcW w:w="1632" w:type="dxa"/>
            <w:vAlign w:val="top"/>
          </w:tcPr>
          <w:p w:rsidR="002E3202" w:rsidRDefault="00391FE7">
            <w:pPr>
              <w:jc w:val="right"/>
            </w:pPr>
            <w:r>
              <w:t>15.700.535</w:t>
            </w:r>
          </w:p>
        </w:tc>
        <w:tc>
          <w:tcPr>
            <w:tcW w:w="1632" w:type="dxa"/>
            <w:vAlign w:val="top"/>
          </w:tcPr>
          <w:p w:rsidR="002E3202" w:rsidRDefault="00391FE7">
            <w:pPr>
              <w:jc w:val="right"/>
            </w:pPr>
            <w:r>
              <w:t>26.643.453</w:t>
            </w:r>
          </w:p>
        </w:tc>
        <w:tc>
          <w:tcPr>
            <w:tcW w:w="1632" w:type="dxa"/>
            <w:vAlign w:val="top"/>
          </w:tcPr>
          <w:p w:rsidR="002E3202" w:rsidRDefault="00391FE7">
            <w:pPr>
              <w:jc w:val="right"/>
            </w:pPr>
            <w:r>
              <w:t>17.000.000</w:t>
            </w:r>
          </w:p>
        </w:tc>
        <w:tc>
          <w:tcPr>
            <w:tcW w:w="1632" w:type="dxa"/>
            <w:vAlign w:val="top"/>
          </w:tcPr>
          <w:p w:rsidR="002E3202" w:rsidRDefault="00391FE7">
            <w:pPr>
              <w:jc w:val="right"/>
            </w:pPr>
            <w:r>
              <w:t>16.000.000</w:t>
            </w:r>
          </w:p>
        </w:tc>
        <w:tc>
          <w:tcPr>
            <w:tcW w:w="1632" w:type="dxa"/>
            <w:vAlign w:val="top"/>
          </w:tcPr>
          <w:p w:rsidR="002E3202" w:rsidRDefault="00391FE7">
            <w:pPr>
              <w:jc w:val="right"/>
            </w:pPr>
            <w:r>
              <w:t>12.000.000</w:t>
            </w:r>
          </w:p>
        </w:tc>
        <w:tc>
          <w:tcPr>
            <w:tcW w:w="510" w:type="dxa"/>
            <w:vAlign w:val="top"/>
          </w:tcPr>
          <w:p w:rsidR="002E3202" w:rsidRDefault="00391FE7">
            <w:pPr>
              <w:jc w:val="right"/>
            </w:pPr>
            <w:r>
              <w:t>63,8</w:t>
            </w:r>
          </w:p>
        </w:tc>
      </w:tr>
    </w:tbl>
    <w:p w:rsidR="002E3202" w:rsidRDefault="002E3202">
      <w:pPr>
        <w:jc w:val="left"/>
      </w:pPr>
    </w:p>
    <w:p w:rsidR="002E3202" w:rsidRDefault="00391FE7">
      <w:r>
        <w:t xml:space="preserve">Navedena aktivnost provoditi će se kontinuirano u svrhu provedbe CEF projekata željezničkog sektora. Instrument za povezivanje Europe (Connecting Europe Facility - CEF) je instrument financiranja osnovan za dodatna ulaganja u izgradnju nove te unaprjeđenje postojeće prometne, energetske i telekomunikacijske infrastrukture. Izvori sredstava za financiranje željezničke infrastrukture su sredstva državnog proračuna za građenje, modernizaciju i obnovu infrastrukture. </w:t>
      </w:r>
    </w:p>
    <w:p w:rsidR="002E3202" w:rsidRDefault="00391FE7">
      <w:r>
        <w:t xml:space="preserve">Financiranje projekata provodi se putem CEF (Connecting Europe Facility) financiranja. HŽ Infrastruktura d.o.o. u narednim godinama planira koristiti sredstva sukladno odobrenim aktivnostima po pojedinom projektu, a mogu uključivati: troškove radova i nadzora nad radovima, plaćanje usluga projektantu/konzultantu, za interne plaće radnika, troškove službenih putovanja i pratećih troškova, troškove promidžbe i vidljivosti, eksterni project management, vanjske revizore, rješavanje imovinskopravnih odnosa (izvlaštenja, procjene, otkupi, javni bilježnici i dr.), plaćanje pristojbi, naknada, doprinosa, dozvola, priključaka za vodovod, kanalizaciju, plinsku i električnu mrežu, sporazume, izmjenu prostornih planova, usluge projektiranja, izradu tehničke dokumentacije, arheološke radove i dokumentaciju, van troškovničke/dodatne radove, troškove rješavanja sporova i povezanih troškova po odlukama o rješavanju sporova, nepriznate troškove u provedbi projekata koji se financiraju iz CEF-a prema odlukama/obavijesti o nepravilnostima, troškove tehničkog pregleda, gubitke zbog tečajnih razlika, osiguranja dodatnih sredstava sukladno potrebama i dinamici izvođenja projekata, a koji su iznad procijenjene vrijednosti radova iz ugovora s CINEA-om, radove na rekonstrukciji/izgradnji kolodvorskih zgrada/parkirališta, dodatne kontrole materijala i radova, leasing vozila, financiranje utvrđene razlike u cijeni radova te ostale neprihvatljive i prihvatljive troškove. </w:t>
      </w:r>
    </w:p>
    <w:p w:rsidR="002E3202" w:rsidRDefault="00391FE7">
      <w:r>
        <w:t xml:space="preserve">U 2024. godini planira se 17.000.000 EUR za sljedeće projekte: Rekonstrukcija postojećeg i izgradnja drugog kolosijeka na dionici Križevci - Koprivnica - dg, Izrada projektne dokumentacije za modernizaciju željezničke dionice Okučani - Vinkovci, Izrada tehničke dokumentacije za modernizaciju željezničke dionice Oštarije - Škrljevo, Poboljšanje željezničke infrastrukture -  uspostava sustava praćenja za sigurnost, osiguranje i tehničke kontrole, Modernizacija željezničke pruge na dionici Zagreb Glavni kolodvor - Hrvatski Leskovac - izrada dokumentacije, Izrada studije razvoja željezničkog čvora Zagreb, Izrada idejnog projekta za novu dvokolosiječnu željezničku prugu na dionici Skradnik - Krasica - Tijani; Rekonstrukcija  postojećeg i izgradnja drugog kolosijeka željezničke pruge Dugo Selo - Novska na dionici Ivanić Grad - Kutina. </w:t>
      </w:r>
    </w:p>
    <w:p w:rsidR="002E3202" w:rsidRDefault="00391FE7">
      <w:r>
        <w:t xml:space="preserve">U 2025. godini planira se 16.000.000 EUR za sljedeće projekte: nastavak projekata - Rekonstrukcija postojećeg i izgradnja drugog kolosijeka na dionici Križevci - Koprivnica - DG, Izrada projektne dokumentacije za modernizaciju željezničke dionice Okučani - Vinkovci, Modernizacija željezničke pruge na dionici Zagreb Glavni kolodvor - Hrvatski Leskovac - izrada dokumentacije, Izrada studije razvoja željezničkog čvora Zagreb, Poboljšanje željezničke infrastrukture - uspostava sustava praćenja za sigurnost, osiguranje i tehničke kontrole, Izrada idejnog projekta za novu dvokolosiječnu željezničku prugu na dionici Skradnik - Krasica - Tijani; Rekonstrukcija  postojećeg i izgradnja drugog kolosijeka željezničke pruge Dugo Selo - Novska na dionici Ivanić Grad - Kutina. </w:t>
      </w:r>
    </w:p>
    <w:p w:rsidR="002E3202" w:rsidRDefault="00391FE7">
      <w:r>
        <w:t>U 2026. godini planira se 12.000.000 EUR za sljedeće projekte: nastavak projekata - Rekonstrukcija postojećeg i izgradnja drugog kolosijeka na dionici Križevci - Koprivnica - dg,   Izrada projektne dokumentacije za modernizaciju željezničke dionice Okučani - Vinkovci, Modernizacija željezničke pruge na dionici Zagreb Glavni kolodvor - Hrvatski Leskovac - izrada dokumentacije, Izrada studije razvoja željezničkog čvora Zagreb, Izrada idejnog projekta za novu dvokolosiječnu željezničku prugu na dionici Skradnik - Krasica - Tijani, Rekonstrukcija  postojećeg i izgradnja drugog kolosijeka željezničke pruge Dugo Selo - Novska na dionici Ivanić Grad – Kutina.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Izrađena tehnička dokumentacija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Priprema tehničke dokumentacije u cilju osiguranja za apliciranje na pozive za sufinanciranje iz EU sredstava radi daljnjeg nastavka projekta i izvođenja radova za poboljšanje željezničke infrastrukture</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0</w:t>
            </w:r>
          </w:p>
        </w:tc>
        <w:tc>
          <w:tcPr>
            <w:tcW w:w="918" w:type="dxa"/>
          </w:tcPr>
          <w:p w:rsidR="002E3202" w:rsidRDefault="00391FE7">
            <w:pPr>
              <w:jc w:val="center"/>
            </w:pPr>
            <w:r>
              <w:t>0</w:t>
            </w:r>
          </w:p>
        </w:tc>
        <w:tc>
          <w:tcPr>
            <w:tcW w:w="918" w:type="dxa"/>
          </w:tcPr>
          <w:p w:rsidR="002E3202" w:rsidRDefault="00391FE7">
            <w:pPr>
              <w:jc w:val="center"/>
            </w:pPr>
            <w:r>
              <w:t>3</w:t>
            </w:r>
          </w:p>
        </w:tc>
      </w:tr>
      <w:tr w:rsidR="002E3202">
        <w:trPr>
          <w:jc w:val="center"/>
        </w:trPr>
        <w:tc>
          <w:tcPr>
            <w:tcW w:w="2245" w:type="dxa"/>
            <w:vAlign w:val="top"/>
          </w:tcPr>
          <w:p w:rsidR="002E3202" w:rsidRDefault="00391FE7">
            <w:pPr>
              <w:pStyle w:val="CellColumn"/>
              <w:jc w:val="left"/>
            </w:pPr>
            <w:r>
              <w:rPr>
                <w:rFonts w:cs="Times New Roman"/>
              </w:rPr>
              <w:t xml:space="preserve">Izvedeni radovi na željezničkim prugama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Izvedeni radovi za modernizaciju, rekonstrukciju i izgradnju željezničke pruge i unaprjeđenje željezničke infrastrukture</w:t>
            </w:r>
          </w:p>
        </w:tc>
        <w:tc>
          <w:tcPr>
            <w:tcW w:w="918" w:type="dxa"/>
          </w:tcPr>
          <w:p w:rsidR="002E3202" w:rsidRDefault="00391FE7">
            <w:pPr>
              <w:jc w:val="center"/>
            </w:pPr>
            <w:r>
              <w:t>km</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0</w:t>
            </w:r>
          </w:p>
        </w:tc>
        <w:tc>
          <w:tcPr>
            <w:tcW w:w="918" w:type="dxa"/>
          </w:tcPr>
          <w:p w:rsidR="002E3202" w:rsidRDefault="00391FE7">
            <w:pPr>
              <w:jc w:val="center"/>
            </w:pPr>
            <w:r>
              <w:t>42,6</w:t>
            </w:r>
          </w:p>
        </w:tc>
        <w:tc>
          <w:tcPr>
            <w:tcW w:w="918" w:type="dxa"/>
          </w:tcPr>
          <w:p w:rsidR="002E3202" w:rsidRDefault="00391FE7">
            <w:pPr>
              <w:jc w:val="center"/>
            </w:pPr>
            <w:r>
              <w:t>0</w:t>
            </w:r>
          </w:p>
        </w:tc>
      </w:tr>
      <w:tr w:rsidR="002E3202">
        <w:trPr>
          <w:jc w:val="center"/>
        </w:trPr>
        <w:tc>
          <w:tcPr>
            <w:tcW w:w="2245" w:type="dxa"/>
            <w:vAlign w:val="top"/>
          </w:tcPr>
          <w:p w:rsidR="002E3202" w:rsidRDefault="00391FE7">
            <w:pPr>
              <w:pStyle w:val="CellColumn"/>
              <w:jc w:val="left"/>
            </w:pPr>
            <w:r>
              <w:rPr>
                <w:rFonts w:cs="Times New Roman"/>
              </w:rPr>
              <w:t>Broj ugrađenih mjernim stanicama</w:t>
            </w:r>
          </w:p>
        </w:tc>
        <w:tc>
          <w:tcPr>
            <w:tcW w:w="2245" w:type="dxa"/>
            <w:vAlign w:val="top"/>
          </w:tcPr>
          <w:p w:rsidR="002E3202" w:rsidRDefault="00391FE7">
            <w:pPr>
              <w:pStyle w:val="CellColumn"/>
              <w:jc w:val="left"/>
            </w:pPr>
            <w:r>
              <w:rPr>
                <w:rFonts w:cs="Times New Roman"/>
              </w:rPr>
              <w:t>Broj lokacija na prugama RH s ugrađenim mjernim stanicama</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9</w:t>
            </w:r>
          </w:p>
        </w:tc>
        <w:tc>
          <w:tcPr>
            <w:tcW w:w="918" w:type="dxa"/>
          </w:tcPr>
          <w:p w:rsidR="002E3202" w:rsidRDefault="00391FE7">
            <w:pPr>
              <w:jc w:val="center"/>
            </w:pPr>
            <w:r>
              <w:t>0</w:t>
            </w:r>
          </w:p>
        </w:tc>
        <w:tc>
          <w:tcPr>
            <w:tcW w:w="918" w:type="dxa"/>
          </w:tcPr>
          <w:p w:rsidR="002E3202" w:rsidRDefault="00391FE7">
            <w:pPr>
              <w:jc w:val="center"/>
            </w:pPr>
            <w:r>
              <w:t>0</w:t>
            </w:r>
          </w:p>
        </w:tc>
      </w:tr>
    </w:tbl>
    <w:p w:rsidR="002E3202" w:rsidRDefault="002E3202">
      <w:pPr>
        <w:jc w:val="left"/>
      </w:pPr>
    </w:p>
    <w:p w:rsidR="002E3202" w:rsidRDefault="00391FE7">
      <w:pPr>
        <w:pStyle w:val="Heading4"/>
      </w:pPr>
      <w:r>
        <w:t>T754054 PRILAGODBA ŽELJEZNIČKIH GRANIČNIH PRIJELAZA ZA PROVEDBU SCHENGENSKE PRAVNE STEČEVINE</w:t>
      </w:r>
    </w:p>
    <w:p w:rsidR="002E3202" w:rsidRDefault="00391FE7">
      <w:pPr>
        <w:pStyle w:val="Heading8"/>
        <w:jc w:val="left"/>
      </w:pPr>
      <w:r>
        <w:t>Zakonske i druge pravne osnove</w:t>
      </w:r>
    </w:p>
    <w:p w:rsidR="002E3202" w:rsidRDefault="00391FE7">
      <w:r>
        <w:t xml:space="preserve">- Zakon o željeznici  </w:t>
      </w:r>
    </w:p>
    <w:p w:rsidR="002E3202" w:rsidRDefault="00391FE7">
      <w:r>
        <w:t xml:space="preserve">- Strategija prometnog razvoja Republike Hrvatske za razdoblje od 2017. do 2030. godine  </w:t>
      </w:r>
    </w:p>
    <w:p w:rsidR="002E3202" w:rsidRDefault="00391FE7">
      <w:r>
        <w:t xml:space="preserve">- Nacionalna razvojna strategija Republike Hrvatske do 2030. godine (NRS 2030.) </w:t>
      </w:r>
    </w:p>
    <w:p w:rsidR="002E3202" w:rsidRDefault="00391FE7">
      <w:r>
        <w:t xml:space="preserve">- Zakon o sustavu strateškog planiranja i upravljanja razvojem Republike Hrvatske </w:t>
      </w:r>
    </w:p>
    <w:p w:rsidR="002E3202" w:rsidRDefault="00391FE7">
      <w:r>
        <w:t xml:space="preserve">- Strategija razvoja željezničkog sustava Republike Hrvatske do 2032. godine </w:t>
      </w:r>
    </w:p>
    <w:p w:rsidR="002E3202" w:rsidRDefault="00391FE7">
      <w:r>
        <w:t xml:space="preserve">- Nacionalni plan upravljanja željezničkom infrastrukturom i uslužnim objektima i razvoja   </w:t>
      </w:r>
    </w:p>
    <w:p w:rsidR="002E3202" w:rsidRDefault="00391FE7">
      <w:r>
        <w:t xml:space="preserve">   usluga željezničkog prijevoza za razdoblje do 2030. godine </w:t>
      </w:r>
    </w:p>
    <w:p w:rsidR="002E3202" w:rsidRDefault="00391FE7">
      <w:r>
        <w:t xml:space="preserve">- Nacionalni plan razvoja željezničke infrastrukture za razdoblje do 2030. godine </w:t>
      </w:r>
    </w:p>
    <w:p w:rsidR="002E3202" w:rsidRDefault="00391FE7">
      <w:r>
        <w:t xml:space="preserve">- Strategija integriranog upravljanja granicom RH  </w:t>
      </w:r>
    </w:p>
    <w:p w:rsidR="002E3202" w:rsidRDefault="00391FE7">
      <w:r>
        <w:t xml:space="preserve">- Zakon o nadzoru državne granice  </w:t>
      </w:r>
    </w:p>
    <w:p w:rsidR="002E3202" w:rsidRDefault="00391FE7">
      <w:r>
        <w:t xml:space="preserve">- Uredba o graničnim prijelazima RH  </w:t>
      </w:r>
    </w:p>
    <w:p w:rsidR="002E3202" w:rsidRDefault="00391FE7">
      <w:r>
        <w:t xml:space="preserve">- Uredba o standardima koje moraju ispunjavati granični prijelazi za učinkovito i sigurno obavljanje granične kontrole  </w:t>
      </w:r>
    </w:p>
    <w:p w:rsidR="002E3202" w:rsidRDefault="00391FE7">
      <w:r>
        <w:t xml:space="preserve">- Uredba o graničnim prijelazima </w:t>
      </w:r>
    </w:p>
    <w:p w:rsidR="002E3202" w:rsidRDefault="00391FE7">
      <w:r>
        <w:t>- Pojedinačna Rješenja o određivanju područja za svaki od graničnih prijelaza</w:t>
      </w:r>
    </w:p>
    <w:tbl>
      <w:tblPr>
        <w:tblStyle w:val="StilTablice"/>
        <w:tblW w:w="10206" w:type="dxa"/>
        <w:jc w:val="center"/>
        <w:tblLook w:val="04A0" w:firstRow="1" w:lastRow="0" w:firstColumn="1" w:lastColumn="0" w:noHBand="0" w:noVBand="1"/>
      </w:tblPr>
      <w:tblGrid>
        <w:gridCol w:w="1469"/>
        <w:gridCol w:w="1558"/>
        <w:gridCol w:w="1550"/>
        <w:gridCol w:w="1564"/>
        <w:gridCol w:w="1564"/>
        <w:gridCol w:w="153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T754054</w:t>
            </w:r>
          </w:p>
        </w:tc>
        <w:tc>
          <w:tcPr>
            <w:tcW w:w="1632" w:type="dxa"/>
            <w:vAlign w:val="top"/>
          </w:tcPr>
          <w:p w:rsidR="002E3202" w:rsidRDefault="00391FE7">
            <w:pPr>
              <w:jc w:val="right"/>
            </w:pPr>
            <w:r>
              <w:t>29.269</w:t>
            </w:r>
          </w:p>
        </w:tc>
        <w:tc>
          <w:tcPr>
            <w:tcW w:w="1632" w:type="dxa"/>
            <w:vAlign w:val="top"/>
          </w:tcPr>
          <w:p w:rsidR="002E3202" w:rsidRDefault="00391FE7">
            <w:pPr>
              <w:jc w:val="right"/>
            </w:pPr>
            <w:r>
              <w:t>270.000</w:t>
            </w:r>
          </w:p>
        </w:tc>
        <w:tc>
          <w:tcPr>
            <w:tcW w:w="1632" w:type="dxa"/>
            <w:vAlign w:val="top"/>
          </w:tcPr>
          <w:p w:rsidR="002E3202" w:rsidRDefault="00391FE7">
            <w:pPr>
              <w:jc w:val="right"/>
            </w:pPr>
            <w:r>
              <w:t>4.000.000</w:t>
            </w:r>
          </w:p>
        </w:tc>
        <w:tc>
          <w:tcPr>
            <w:tcW w:w="1632" w:type="dxa"/>
            <w:vAlign w:val="top"/>
          </w:tcPr>
          <w:p w:rsidR="002E3202" w:rsidRDefault="00391FE7">
            <w:pPr>
              <w:jc w:val="right"/>
            </w:pPr>
            <w:r>
              <w:t>4.000.000</w:t>
            </w:r>
          </w:p>
        </w:tc>
        <w:tc>
          <w:tcPr>
            <w:tcW w:w="1632" w:type="dxa"/>
            <w:vAlign w:val="top"/>
          </w:tcPr>
          <w:p w:rsidR="002E3202" w:rsidRDefault="00391FE7">
            <w:pPr>
              <w:jc w:val="right"/>
            </w:pPr>
            <w:r>
              <w:t>00</w:t>
            </w:r>
          </w:p>
        </w:tc>
        <w:tc>
          <w:tcPr>
            <w:tcW w:w="510" w:type="dxa"/>
            <w:vAlign w:val="top"/>
          </w:tcPr>
          <w:p w:rsidR="002E3202" w:rsidRDefault="00391FE7">
            <w:pPr>
              <w:jc w:val="right"/>
            </w:pPr>
            <w:r>
              <w:t>1481,5</w:t>
            </w:r>
          </w:p>
        </w:tc>
      </w:tr>
    </w:tbl>
    <w:p w:rsidR="002E3202" w:rsidRDefault="002E3202">
      <w:pPr>
        <w:jc w:val="left"/>
      </w:pPr>
    </w:p>
    <w:p w:rsidR="002E3202" w:rsidRDefault="00391FE7">
      <w:r>
        <w:t xml:space="preserve">U cilju pripreme odnosno ulaska u Schengenski prostor, RH mora osigurati učinkovitu provedbu schengenske pravne stečevine i provesti potrebne aktivnosti izgradnje institucionalnih i infrastrukturnih kapaciteta. </w:t>
      </w:r>
    </w:p>
    <w:p w:rsidR="002E3202" w:rsidRDefault="00391FE7">
      <w:r>
        <w:t xml:space="preserve">U skladu sa Strategijom integriranog upravljanja granicom te Akcijskim planom, ovim aktivnostima obuhvaćena je i potreba prilagodbe željezničkih graničnih prijelaza za provedbu schengenske pravne stečevine kojom će se osigurati implementacija specifičnih zahtjeva u segmentu granične kontrole i infrastrukture u dijelu željezničkih graničnih prijelaza (prilagodba kolosijeka, izgradnja perona, izgradnja zgrada/uređenje prostorija na kolodvorima za potrebe granične kontrole: MUP-a, Ministarstva financija, Carinske uprave). Za isto je potrebno izvršiti prilagodbu u dijelu građevinskog, elektroenergetskog, prometno-upravljačkog i signalno-sigurnosnog infrastrukturnog podsustava, kao i u dijelu ostalih funkcionalnih dijelova željezničke infrastrukture na kolodvorima, a sve u ovisnosti od postojećeg stanja graničnog kolodvora).  </w:t>
      </w:r>
    </w:p>
    <w:p w:rsidR="002E3202" w:rsidRDefault="00391FE7">
      <w:r>
        <w:t>Aktivnostima prilagodbe za provedbu schengenske pravne stečevine obuhvaćeni su sljedeći željeznički kolodvori: Erdut, Tovarnik, Drenovci, Slavonski Šamac, Volinja i Metković.</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Broj prilagođenih željezničkih graničnih prijelaza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Provedene privremene mjere prilagodbe željezničkih graničnih prijelaza</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3</w:t>
            </w:r>
          </w:p>
        </w:tc>
        <w:tc>
          <w:tcPr>
            <w:tcW w:w="918" w:type="dxa"/>
          </w:tcPr>
          <w:p w:rsidR="002E3202" w:rsidRDefault="00391FE7">
            <w:pPr>
              <w:jc w:val="center"/>
            </w:pPr>
            <w:r>
              <w:t>3</w:t>
            </w:r>
          </w:p>
        </w:tc>
        <w:tc>
          <w:tcPr>
            <w:tcW w:w="918" w:type="dxa"/>
          </w:tcPr>
          <w:p w:rsidR="002E3202" w:rsidRDefault="00391FE7">
            <w:pPr>
              <w:jc w:val="center"/>
            </w:pPr>
            <w:r>
              <w:t>-</w:t>
            </w:r>
          </w:p>
        </w:tc>
      </w:tr>
    </w:tbl>
    <w:p w:rsidR="002E3202" w:rsidRDefault="002E3202">
      <w:pPr>
        <w:jc w:val="left"/>
      </w:pPr>
    </w:p>
    <w:p w:rsidR="002E3202" w:rsidRDefault="00391FE7">
      <w:pPr>
        <w:pStyle w:val="Heading4"/>
      </w:pPr>
      <w:r>
        <w:t>T819078 OPREMANJE PRUGA UREĐAJEM ZA AUTOMATSKU ZAŠTITU VLAKA</w:t>
      </w:r>
    </w:p>
    <w:p w:rsidR="002E3202" w:rsidRDefault="00391FE7">
      <w:pPr>
        <w:pStyle w:val="Heading8"/>
        <w:jc w:val="left"/>
      </w:pPr>
      <w:r>
        <w:t>Zakonske i druge pravne osnove</w:t>
      </w:r>
    </w:p>
    <w:p w:rsidR="002E3202" w:rsidRDefault="00391FE7">
      <w:r>
        <w:t xml:space="preserve">- Zakon o željeznici, članak 18. </w:t>
      </w:r>
    </w:p>
    <w:p w:rsidR="002E3202" w:rsidRDefault="00391FE7">
      <w:r>
        <w:t xml:space="preserve">- Strategija prometnog razvoja Republike Hrvatske za razdoblje od 2017. do 2030. godine  </w:t>
      </w:r>
    </w:p>
    <w:p w:rsidR="002E3202" w:rsidRDefault="00391FE7">
      <w:r>
        <w:t xml:space="preserve">- Nacionalna razvojna strategija Republike Hrvatske do 2030. godine (NRS 2030.) </w:t>
      </w:r>
    </w:p>
    <w:p w:rsidR="002E3202" w:rsidRDefault="00391FE7">
      <w:r>
        <w:t xml:space="preserve">- Zakon o sustavu strateškog planiranja i upravljanja razvojem Republike Hrvatske </w:t>
      </w:r>
    </w:p>
    <w:p w:rsidR="002E3202" w:rsidRDefault="00391FE7">
      <w:r>
        <w:t xml:space="preserve">- Strategija razvoja željezničkog sustava Republike Hrvatske do 2032. godine </w:t>
      </w:r>
    </w:p>
    <w:p w:rsidR="002E3202" w:rsidRDefault="00391FE7">
      <w:r>
        <w:t xml:space="preserve">- Nacionalni plan upravljanja željezničkom infrastrukturom i uslužnim objektima i razvoja   </w:t>
      </w:r>
    </w:p>
    <w:p w:rsidR="002E3202" w:rsidRDefault="00391FE7">
      <w:r>
        <w:t xml:space="preserve">   usluga željezničkog prijevoza za razdoblje do 2030. godine </w:t>
      </w:r>
    </w:p>
    <w:p w:rsidR="002E3202" w:rsidRDefault="00391FE7">
      <w:r>
        <w:t xml:space="preserve">- Nacionalni plan razvoja željezničke infrastrukture za razdoblje do 2030. godine </w:t>
      </w:r>
    </w:p>
    <w:p w:rsidR="002E3202" w:rsidRDefault="00391FE7">
      <w:r>
        <w:t>- Zakon o sigurnosti i interoperabilnosti željezničkog sustava, članak 84. stavak 3.</w:t>
      </w:r>
    </w:p>
    <w:tbl>
      <w:tblPr>
        <w:tblStyle w:val="StilTablice"/>
        <w:tblW w:w="10206" w:type="dxa"/>
        <w:jc w:val="center"/>
        <w:tblLook w:val="04A0" w:firstRow="1" w:lastRow="0" w:firstColumn="1" w:lastColumn="0" w:noHBand="0" w:noVBand="1"/>
      </w:tblPr>
      <w:tblGrid>
        <w:gridCol w:w="1476"/>
        <w:gridCol w:w="1563"/>
        <w:gridCol w:w="1547"/>
        <w:gridCol w:w="1556"/>
        <w:gridCol w:w="1556"/>
        <w:gridCol w:w="1538"/>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T819078</w:t>
            </w:r>
          </w:p>
        </w:tc>
        <w:tc>
          <w:tcPr>
            <w:tcW w:w="1632" w:type="dxa"/>
            <w:vAlign w:val="top"/>
          </w:tcPr>
          <w:p w:rsidR="002E3202" w:rsidRDefault="00391FE7">
            <w:pPr>
              <w:jc w:val="right"/>
            </w:pPr>
            <w:r>
              <w:t>31.927</w:t>
            </w:r>
          </w:p>
        </w:tc>
        <w:tc>
          <w:tcPr>
            <w:tcW w:w="1632" w:type="dxa"/>
            <w:vAlign w:val="top"/>
          </w:tcPr>
          <w:p w:rsidR="002E3202" w:rsidRDefault="00391FE7">
            <w:pPr>
              <w:jc w:val="right"/>
            </w:pPr>
            <w:r>
              <w:t>80.000</w:t>
            </w:r>
          </w:p>
        </w:tc>
        <w:tc>
          <w:tcPr>
            <w:tcW w:w="1632" w:type="dxa"/>
            <w:vAlign w:val="top"/>
          </w:tcPr>
          <w:p w:rsidR="002E3202" w:rsidRDefault="00391FE7">
            <w:pPr>
              <w:jc w:val="right"/>
            </w:pPr>
            <w:r>
              <w:t>133.000</w:t>
            </w:r>
          </w:p>
        </w:tc>
        <w:tc>
          <w:tcPr>
            <w:tcW w:w="1632" w:type="dxa"/>
            <w:vAlign w:val="top"/>
          </w:tcPr>
          <w:p w:rsidR="002E3202" w:rsidRDefault="00391FE7">
            <w:pPr>
              <w:jc w:val="right"/>
            </w:pPr>
            <w:r>
              <w:t>371.983</w:t>
            </w:r>
          </w:p>
        </w:tc>
        <w:tc>
          <w:tcPr>
            <w:tcW w:w="1632" w:type="dxa"/>
            <w:vAlign w:val="top"/>
          </w:tcPr>
          <w:p w:rsidR="002E3202" w:rsidRDefault="00391FE7">
            <w:pPr>
              <w:jc w:val="right"/>
            </w:pPr>
            <w:r>
              <w:t>00</w:t>
            </w:r>
          </w:p>
        </w:tc>
        <w:tc>
          <w:tcPr>
            <w:tcW w:w="510" w:type="dxa"/>
            <w:vAlign w:val="top"/>
          </w:tcPr>
          <w:p w:rsidR="002E3202" w:rsidRDefault="00391FE7">
            <w:pPr>
              <w:jc w:val="right"/>
            </w:pPr>
            <w:r>
              <w:t>166,2</w:t>
            </w:r>
          </w:p>
        </w:tc>
      </w:tr>
    </w:tbl>
    <w:p w:rsidR="002E3202" w:rsidRDefault="002E3202">
      <w:pPr>
        <w:jc w:val="left"/>
      </w:pPr>
    </w:p>
    <w:p w:rsidR="002E3202" w:rsidRDefault="00391FE7">
      <w:r>
        <w:t xml:space="preserve">Člankom 84. Zakona o sigurnosti i interoperabilnosti željezničkog sustava propisano je da svi svjetlosni glavni signali, pred signali i kontrolni svjetlosni signali na željezničko-cestovnim prijelazima s automatskim uređajima za osiguranje prijelaza moraju biti opremljeni pružnim uređajem za automatsku zaštitu vlaka (autostop uređaj). Istim člankom Zakona propisano je da plan opremanja postojećih željezničkih pruga uređajima za automatsku zaštitu vlaka (autostop uređajima) na prijedlog upravitelja infrastrukture donosi ministar. </w:t>
      </w:r>
    </w:p>
    <w:p w:rsidR="002E3202" w:rsidRDefault="00391FE7">
      <w:r>
        <w:t xml:space="preserve">Autostop uređaj je uređaj za automatsku zaštitu vlaka koji prenosi informacije sa željezničke pruge na vučno vozilo u kretanju te uvodi prisilno kočenje vlaka, ako strojovođa ne djeluje pravilno na nailazeće signalne znakove ili ako je brzina vlaka veća od dopuštene u trenucima kada se autostopom kontrolira brzina vlaka. </w:t>
      </w:r>
    </w:p>
    <w:p w:rsidR="002E3202" w:rsidRDefault="00391FE7">
      <w:r>
        <w:t xml:space="preserve">Mjesta i način ugradnje autostop uređaja propisani su internim općim aktom društva HŽ INFRASTRUKTURA d.o.o. (u daljnjem tekstu: HŽI), (Uputa HŽI-427 za primjenu, ugradnju, ispitivanje i održavanje pružnih autostop uređaja. Službeni vjesnik HŽI d.o.o. br. 2/16, 4/18 i 11/19). </w:t>
      </w:r>
    </w:p>
    <w:p w:rsidR="002E3202" w:rsidRDefault="00391FE7">
      <w:r>
        <w:t xml:space="preserve">Društvo HŽI je izradilo plan opremanja postojećih željezničkih pruga autostop uređajima po prioritetima na temelju sljedećih kriterija: </w:t>
      </w:r>
    </w:p>
    <w:p w:rsidR="002E3202" w:rsidRDefault="00391FE7">
      <w:r>
        <w:t xml:space="preserve">- pruge s najvećim dopuštenim brzinama (brzine veće od 100 km/h) su pruge za međunarodni promet odnosno glavne (koridorske) pruge </w:t>
      </w:r>
    </w:p>
    <w:p w:rsidR="002E3202" w:rsidRDefault="00391FE7">
      <w:r>
        <w:t xml:space="preserve">- ostale pruge za međunarodni promet i regionalne pruge s većim intenzitetom prometa </w:t>
      </w:r>
    </w:p>
    <w:p w:rsidR="002E3202" w:rsidRDefault="00391FE7">
      <w:r>
        <w:t xml:space="preserve">- ostale pruge za regionalni promet i pruge za lokalni promet. </w:t>
      </w:r>
    </w:p>
    <w:p w:rsidR="002E3202" w:rsidRDefault="00391FE7">
      <w:r>
        <w:t xml:space="preserve">Osim od navedenih kriterija za prioritete opremanja pruga autostop uređajima korišteni su položaji pojedinih službenih mjesta na više pruga te kriterij postojanja tehničkog rješenja za ugradnju autostop uređaja na pojedine tipove signalno-sigurnosnih uređaja. </w:t>
      </w:r>
    </w:p>
    <w:p w:rsidR="002E3202" w:rsidRDefault="00391FE7">
      <w:r>
        <w:t xml:space="preserve">Zakonom je, osim glavnih signala i predsignala, propisano i opremanje kontrolnih signala na uređajima za osiguranje željezničko-cestovnih prijelaza autostop uređajima, stoga plan opremanja pruga autostop uređajima uključuje i te signale pri čemu su korišteni isti kriteriji kao i za glavne signale i predsignale.  </w:t>
      </w:r>
    </w:p>
    <w:p w:rsidR="002E3202" w:rsidRDefault="00391FE7">
      <w:r>
        <w:t>Financijska sredstva koristiti će se za sljedeće troškove: izrade i dopune dokumentacije, nabave, isporuke, ugradnje i ispitivanja opreme baliza, troškove prilagodbe postojećih uređaja, vantroškovničke/dodatne radove.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Opremljene pruge uređajem za automatsku zaštitu vlaka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Provedeno opremanje postojećih željezničkih pruga uređajem za automatsku zaštitu vlaka</w:t>
            </w:r>
          </w:p>
        </w:tc>
        <w:tc>
          <w:tcPr>
            <w:tcW w:w="918" w:type="dxa"/>
          </w:tcPr>
          <w:p w:rsidR="002E3202" w:rsidRDefault="00391FE7">
            <w:pPr>
              <w:jc w:val="center"/>
            </w:pPr>
            <w:r>
              <w:t>broj</w:t>
            </w:r>
          </w:p>
        </w:tc>
        <w:tc>
          <w:tcPr>
            <w:tcW w:w="918" w:type="dxa"/>
          </w:tcPr>
          <w:p w:rsidR="002E3202" w:rsidRDefault="00391FE7">
            <w:pPr>
              <w:jc w:val="center"/>
            </w:pPr>
            <w:r>
              <w:t>16</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16</w:t>
            </w:r>
          </w:p>
        </w:tc>
        <w:tc>
          <w:tcPr>
            <w:tcW w:w="918" w:type="dxa"/>
          </w:tcPr>
          <w:p w:rsidR="002E3202" w:rsidRDefault="00391FE7">
            <w:pPr>
              <w:jc w:val="center"/>
            </w:pPr>
            <w:r>
              <w:t>13</w:t>
            </w:r>
          </w:p>
        </w:tc>
        <w:tc>
          <w:tcPr>
            <w:tcW w:w="918" w:type="dxa"/>
          </w:tcPr>
          <w:p w:rsidR="002E3202" w:rsidRDefault="00391FE7">
            <w:pPr>
              <w:jc w:val="center"/>
            </w:pPr>
            <w:r>
              <w:t>13</w:t>
            </w:r>
          </w:p>
        </w:tc>
      </w:tr>
    </w:tbl>
    <w:p w:rsidR="002E3202" w:rsidRDefault="002E3202">
      <w:pPr>
        <w:jc w:val="left"/>
      </w:pPr>
    </w:p>
    <w:p w:rsidR="002E3202" w:rsidRDefault="00391FE7">
      <w:pPr>
        <w:pStyle w:val="Heading4"/>
      </w:pPr>
      <w:r>
        <w:t>T820075 POTPORA DRUŠTVU HŽ INFRASTRUKTURA D.O.O. ZA OTPLATU ZAJMA IBRD</w:t>
      </w:r>
    </w:p>
    <w:p w:rsidR="002E3202" w:rsidRDefault="00391FE7">
      <w:pPr>
        <w:pStyle w:val="Heading8"/>
        <w:jc w:val="left"/>
      </w:pPr>
      <w:r>
        <w:t>Zakonske i druge pravne osnove</w:t>
      </w:r>
    </w:p>
    <w:p w:rsidR="002E3202" w:rsidRDefault="00391FE7">
      <w:r>
        <w:t xml:space="preserve">- Zakon o željeznici, članak 18., članak 19.  </w:t>
      </w:r>
    </w:p>
    <w:p w:rsidR="002E3202" w:rsidRDefault="00391FE7">
      <w:r>
        <w:t xml:space="preserve">- Strategija prometnog razvoja Republike Hrvatske za razdoblje od 2017. do 2030. godine  </w:t>
      </w:r>
    </w:p>
    <w:p w:rsidR="002E3202" w:rsidRDefault="00391FE7">
      <w:r>
        <w:t>- Zakon o potvrđivanju Ugovora o jamstvu između Republike Hrvatske i Svjetske banke za financiranje projekta održivih hrvatskih željeznica u Europi za društvo HŽ INFRASTRUKTURA d.o.o. na temelju čega je sklopljen Podugovor između Ministarstva mora, prometa i infrastrukture i HŽ INFRASTRUKTURA d.o.o. (zajam br. 8500-HR) (NN 5/15 – Međunarodni ugovori)</w:t>
      </w:r>
    </w:p>
    <w:tbl>
      <w:tblPr>
        <w:tblStyle w:val="StilTablice"/>
        <w:tblW w:w="10206" w:type="dxa"/>
        <w:jc w:val="center"/>
        <w:tblLook w:val="04A0" w:firstRow="1" w:lastRow="0" w:firstColumn="1" w:lastColumn="0" w:noHBand="0" w:noVBand="1"/>
      </w:tblPr>
      <w:tblGrid>
        <w:gridCol w:w="1469"/>
        <w:gridCol w:w="1571"/>
        <w:gridCol w:w="1571"/>
        <w:gridCol w:w="1571"/>
        <w:gridCol w:w="1527"/>
        <w:gridCol w:w="152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T820075</w:t>
            </w:r>
          </w:p>
        </w:tc>
        <w:tc>
          <w:tcPr>
            <w:tcW w:w="1632" w:type="dxa"/>
            <w:vAlign w:val="top"/>
          </w:tcPr>
          <w:p w:rsidR="002E3202" w:rsidRDefault="00391FE7">
            <w:pPr>
              <w:jc w:val="right"/>
            </w:pPr>
            <w:r>
              <w:t>14.466.786</w:t>
            </w:r>
          </w:p>
        </w:tc>
        <w:tc>
          <w:tcPr>
            <w:tcW w:w="1632" w:type="dxa"/>
            <w:vAlign w:val="top"/>
          </w:tcPr>
          <w:p w:rsidR="002E3202" w:rsidRDefault="00391FE7">
            <w:pPr>
              <w:jc w:val="right"/>
            </w:pPr>
            <w:r>
              <w:t>11.945.052</w:t>
            </w:r>
          </w:p>
        </w:tc>
        <w:tc>
          <w:tcPr>
            <w:tcW w:w="1632" w:type="dxa"/>
            <w:vAlign w:val="top"/>
          </w:tcPr>
          <w:p w:rsidR="002E3202" w:rsidRDefault="00391FE7">
            <w:pPr>
              <w:jc w:val="right"/>
            </w:pPr>
            <w:r>
              <w:t>11.100.000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92,9</w:t>
            </w:r>
          </w:p>
        </w:tc>
      </w:tr>
    </w:tbl>
    <w:p w:rsidR="002E3202" w:rsidRDefault="002E3202">
      <w:pPr>
        <w:jc w:val="left"/>
      </w:pPr>
    </w:p>
    <w:p w:rsidR="002E3202" w:rsidRDefault="00391FE7">
      <w:r>
        <w:t xml:space="preserve">Dugoročni zajam za financiranje Projekta održivih hrvatskih željeznica u Europi za društvo HŽ Infrastruktura d.o.o. (u daljnjem tekstu: HŽI) Međunarodne banke za obnovu i razvoj (u daljnjem tekstu: IBRD), ima za svrhu poboljšanje učinkovitosti i financijske održivosti javnog sektora u RH te doprinosi realizaciji „Strategije prometnog razvoja RH za razdoblje 2017. do 2030“. Planirana sredstva bit će utrošena za financiranje dijela otplate IBRD zajma na temelju: </w:t>
      </w:r>
    </w:p>
    <w:p w:rsidR="002E3202" w:rsidRDefault="00391FE7">
      <w:r>
        <w:t xml:space="preserve">1. Ugovora o zajmu broj 8500-HR od 6. svibnja 2015. godine između HŽI i IBRD za Projekt održivog razvoja hrvatskog željezničkog sektora (i to u 2024. godini 10.000.000 eura) </w:t>
      </w:r>
    </w:p>
    <w:p w:rsidR="002E3202" w:rsidRDefault="00391FE7">
      <w:r>
        <w:t xml:space="preserve">2. Podugovora Ugovora o zajmu sklopljenog 7. svibnja 2015. godine između HŽI i Ministarstva mora, prometa i infrastrukture, Ministarstvo je u obvezi plaćanja kamata i naknade te glavnice dijela kredita Svjetske banke 8500-HR po godinama kako slijedi (i to u 2024. godini 1.100.000 eura). </w:t>
      </w:r>
    </w:p>
    <w:p w:rsidR="002E3202" w:rsidRDefault="00391FE7">
      <w:r>
        <w:t xml:space="preserve">Prvom Izmjenom ugovora o zajmu IBRD 8500-HR, Banka je 28. lipnja 2018. godine odobrila restrukturiranje zajma:  </w:t>
      </w:r>
    </w:p>
    <w:p w:rsidR="002E3202" w:rsidRDefault="00391FE7">
      <w:r>
        <w:t xml:space="preserve">- Dio A. Podrška restrukturiranju i koordinaciji sektora - 4.100.000 EUR </w:t>
      </w:r>
    </w:p>
    <w:p w:rsidR="002E3202" w:rsidRDefault="00391FE7">
      <w:r>
        <w:t xml:space="preserve">- Dio D. Podrška restrukturiranju društva HŽ Infrastruktura i omogućavanje </w:t>
      </w:r>
    </w:p>
    <w:p w:rsidR="002E3202" w:rsidRDefault="00391FE7">
      <w:r>
        <w:t xml:space="preserve">investicija koje će poboljšati efikasnost sustava - 74.900.000 EUR </w:t>
      </w:r>
    </w:p>
    <w:p w:rsidR="002E3202" w:rsidRDefault="00391FE7">
      <w:r>
        <w:t xml:space="preserve">- Dio D. Kategorija (6) Isplata otpremnina za HŽI  7.900.000,00 EUR: </w:t>
      </w:r>
    </w:p>
    <w:p w:rsidR="002E3202" w:rsidRDefault="00391FE7">
      <w:r>
        <w:t xml:space="preserve">1. Smanjenje broja zaposlenih, isplaćivanje otpremnina za HŽI, uključujući pružanje usluga zbrinjavanja i obuke te davanje savjeta i podrške. </w:t>
      </w:r>
    </w:p>
    <w:p w:rsidR="002E3202" w:rsidRDefault="00391FE7">
      <w:r>
        <w:t xml:space="preserve">- Dio D. Kategorija (7) roba, radovi, nekonzultantske usluge, konzultantske  usluge i obuka - 66.802.500 EUR   </w:t>
      </w:r>
    </w:p>
    <w:p w:rsidR="002E3202" w:rsidRDefault="00391FE7">
      <w:r>
        <w:t xml:space="preserve">2. Ugradnja željezničko-cestovnih prijelaza na osnovi kriterija prioriteta definiranih u Dodatnom pismu #4. </w:t>
      </w:r>
    </w:p>
    <w:p w:rsidR="002E3202" w:rsidRDefault="00391FE7">
      <w:r>
        <w:t xml:space="preserve">3. Poduzimanje drugih radova u pogledu sigurnosti, uključujući ojačanje usjeka i pokosa na dva koridora iz Rijeke </w:t>
      </w:r>
    </w:p>
    <w:p w:rsidR="002E3202" w:rsidRDefault="00391FE7">
      <w:r>
        <w:t xml:space="preserve">4. Poduzimanje hitnih infrastrukturnih investicija, uključujući: </w:t>
      </w:r>
    </w:p>
    <w:p w:rsidR="002E3202" w:rsidRDefault="00391FE7">
      <w:r>
        <w:t xml:space="preserve">(a) Remont pruge Ogulin-Moravice; </w:t>
      </w:r>
    </w:p>
    <w:p w:rsidR="002E3202" w:rsidRDefault="00391FE7">
      <w:r>
        <w:t xml:space="preserve">(b) Remont pruge Zagreb – Savski Marof; </w:t>
      </w:r>
    </w:p>
    <w:p w:rsidR="002E3202" w:rsidRDefault="00391FE7">
      <w:r>
        <w:t xml:space="preserve">(c) Izmjenu skretnica, električnih sustava i sustava podrške (za sigurnost i signalizaciju) na međunarodnim i domaćim koridorima odabranim na temelju kriterija definiranih u Dodatnom pismu #4.;  </w:t>
      </w:r>
    </w:p>
    <w:p w:rsidR="002E3202" w:rsidRDefault="00391FE7">
      <w:r>
        <w:t xml:space="preserve">(d) Izgradnju i poboljšanje željezničkih kolodvora Borongaj, Rijeka-Brajdica i Vinkovci. </w:t>
      </w:r>
    </w:p>
    <w:p w:rsidR="002E3202" w:rsidRDefault="00391FE7">
      <w:r>
        <w:t xml:space="preserve">5. Izgradnja kapaciteta za upravljanje i restrukturiranje. </w:t>
      </w:r>
    </w:p>
    <w:p w:rsidR="002E3202" w:rsidRDefault="00391FE7">
      <w:r>
        <w:t xml:space="preserve">- Dio D. Kategorija (8) Početna naknada – 197.500 EUR   </w:t>
      </w:r>
    </w:p>
    <w:p w:rsidR="002E3202" w:rsidRDefault="00391FE7">
      <w:r>
        <w:t xml:space="preserve">Drugom Izmjenom ugovora o zajmu IBRD 8500-HR, Banka je 18. lipnja 2019. godine odobrila novi rok korištenja zajma do 30. studenog 2021. godine.  </w:t>
      </w:r>
    </w:p>
    <w:p w:rsidR="002E3202" w:rsidRDefault="00391FE7">
      <w:r>
        <w:t xml:space="preserve">Trećom Izmjenom ugovora o zajmu IBRD 8500-HR, Banka je 22. studenog 2021. godine produžila rok korištenja zajma na 31. srpnja 2023. godine i odobrila prenamjenu sredstava:  </w:t>
      </w:r>
    </w:p>
    <w:p w:rsidR="002E3202" w:rsidRDefault="00391FE7">
      <w:r>
        <w:t xml:space="preserve">- Dio A. Podrška restrukturiranju i koordinaciji sektora - 2.110.355 EUR </w:t>
      </w:r>
    </w:p>
    <w:p w:rsidR="002E3202" w:rsidRDefault="00391FE7">
      <w:r>
        <w:t xml:space="preserve">- Dio D. Podrška restrukturiranju društva HŽ Infrastruktura i omogućavanje investicija koje će poboljšati efikasnost sustava - 76.889.645 EUR </w:t>
      </w:r>
    </w:p>
    <w:p w:rsidR="002E3202" w:rsidRDefault="00391FE7">
      <w:r>
        <w:t xml:space="preserve">- Dio D. Kategorija (6) Isplata otpremnina za HŽI  - 7.900.000 EUR </w:t>
      </w:r>
    </w:p>
    <w:p w:rsidR="002E3202" w:rsidRDefault="00391FE7">
      <w:r>
        <w:t xml:space="preserve">- Dio D. Kategorija (7)  Roba, radovi, nekonzultantske i konzultantske  usluge i obuka   -68.792.145 EUR   </w:t>
      </w:r>
    </w:p>
    <w:p w:rsidR="002E3202" w:rsidRDefault="00391FE7">
      <w:r>
        <w:t xml:space="preserve">- Dio D. Kategorija (8) Početna naknada – 197.500 EUR   </w:t>
      </w:r>
    </w:p>
    <w:p w:rsidR="002E3202" w:rsidRDefault="00391FE7">
      <w:r>
        <w:t xml:space="preserve">Četvrtom Izmjenom ugovora o zajmu IBRD 8500-HR, Banka je 17. srpnja 2023. godine odobrila restrukturiranje sredstava:  </w:t>
      </w:r>
    </w:p>
    <w:p w:rsidR="002E3202" w:rsidRDefault="00391FE7">
      <w:r>
        <w:t xml:space="preserve">- Dio A. Podrška restrukturiranju i koordinaciji sektora – 1.967.625,31 EUR </w:t>
      </w:r>
    </w:p>
    <w:p w:rsidR="002E3202" w:rsidRDefault="00391FE7">
      <w:r>
        <w:t xml:space="preserve">- Dio D. Podrška restrukturiranju društva HŽ Infrastruktura i omogućavanje investicija koje će poboljšati efikasnost sustava- 77.032.374,69 EUR </w:t>
      </w:r>
    </w:p>
    <w:p w:rsidR="002E3202" w:rsidRDefault="00391FE7">
      <w:r>
        <w:t xml:space="preserve">- Dio D. Kategorija (6) Isplata otpremnina za HŽI  - 7.900.000 EUR </w:t>
      </w:r>
    </w:p>
    <w:p w:rsidR="002E3202" w:rsidRDefault="00391FE7">
      <w:r>
        <w:t xml:space="preserve">- Dio D. Kategorija (7)  Roba, radovi, nekonzultantske i konzultantske  usluge i obuka - 68.934.874,69 EUR   </w:t>
      </w:r>
    </w:p>
    <w:p w:rsidR="002E3202" w:rsidRDefault="00391FE7">
      <w:r>
        <w:t xml:space="preserve">- Dio D. Kategorija (8) Početna naknada – 197.500,00 EUR   </w:t>
      </w:r>
    </w:p>
    <w:p w:rsidR="002E3202" w:rsidRDefault="00391FE7">
      <w:r>
        <w:t>Prema Aide Memoire Svjetske banke, May 22-26, 2023., za prenamjenu sredstava unutar Kategorije 7. nije potrebna formalna suglasnost Banke. Društvo HŽI je sredstva s pozicija koje se neće utrošiti preusmjerio na projekt Obnova dionice pruge Zagreb - Savski Marof.</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Udio isplaćene potpore u ukupno planiranom iznosu</w:t>
            </w:r>
          </w:p>
        </w:tc>
        <w:tc>
          <w:tcPr>
            <w:tcW w:w="2245" w:type="dxa"/>
            <w:vAlign w:val="top"/>
          </w:tcPr>
          <w:p w:rsidR="002E3202" w:rsidRDefault="00391FE7">
            <w:pPr>
              <w:pStyle w:val="CellColumn"/>
              <w:jc w:val="left"/>
            </w:pPr>
            <w:r>
              <w:rPr>
                <w:rFonts w:cs="Times New Roman"/>
              </w:rPr>
              <w:t>Povećanje efikasnosti sustava kroz izgrađenost infrastrukturnih objekata, povećanje sigurnosti u željezničkom prometu i optimizaciju poslovanja</w:t>
            </w:r>
          </w:p>
        </w:tc>
        <w:tc>
          <w:tcPr>
            <w:tcW w:w="918" w:type="dxa"/>
          </w:tcPr>
          <w:p w:rsidR="002E3202" w:rsidRDefault="00391FE7">
            <w:pPr>
              <w:jc w:val="center"/>
            </w:pPr>
            <w:r>
              <w:t>%</w:t>
            </w:r>
          </w:p>
        </w:tc>
        <w:tc>
          <w:tcPr>
            <w:tcW w:w="918" w:type="dxa"/>
          </w:tcPr>
          <w:p w:rsidR="002E3202" w:rsidRDefault="00391FE7">
            <w:pPr>
              <w:jc w:val="center"/>
            </w:pPr>
            <w:r>
              <w:t>35,15</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78,22</w:t>
            </w:r>
          </w:p>
        </w:tc>
        <w:tc>
          <w:tcPr>
            <w:tcW w:w="918" w:type="dxa"/>
          </w:tcPr>
          <w:p w:rsidR="002E3202" w:rsidRDefault="00391FE7">
            <w:pPr>
              <w:jc w:val="center"/>
            </w:pPr>
            <w:r>
              <w:t>100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T821082 POTPORA U PROVEDBI NPOO PROJEKATA ŽELJEZNIČKOG SEKTORA</w:t>
      </w:r>
    </w:p>
    <w:p w:rsidR="002E3202" w:rsidRDefault="00391FE7">
      <w:pPr>
        <w:pStyle w:val="Heading8"/>
        <w:jc w:val="left"/>
      </w:pPr>
      <w:r>
        <w:t>Zakonske i druge pravne osnove</w:t>
      </w:r>
    </w:p>
    <w:p w:rsidR="002E3202" w:rsidRDefault="00391FE7">
      <w:r>
        <w:t xml:space="preserve">- Zakon o željeznici, članak 18.  </w:t>
      </w:r>
    </w:p>
    <w:p w:rsidR="002E3202" w:rsidRDefault="00391FE7">
      <w:r>
        <w:t xml:space="preserve">- Strategija prometnog razvoja Republike Hrvatske za razdoblje od 2017. do 2030. godine  </w:t>
      </w:r>
    </w:p>
    <w:p w:rsidR="002E3202" w:rsidRDefault="00391FE7">
      <w:r>
        <w:t xml:space="preserve">- Nacionalna razvojna strategija Republike Hrvatske do 2030. godine (NRS 2030.) </w:t>
      </w:r>
    </w:p>
    <w:p w:rsidR="002E3202" w:rsidRDefault="00391FE7">
      <w:r>
        <w:t xml:space="preserve">- Nacionalni program reformi (NPR 2020.)  </w:t>
      </w:r>
    </w:p>
    <w:p w:rsidR="002E3202" w:rsidRDefault="00391FE7">
      <w:r>
        <w:t xml:space="preserve">- Nacionalni plan oporavka i otpornosti 2021. - 2026. </w:t>
      </w:r>
    </w:p>
    <w:p w:rsidR="002E3202" w:rsidRDefault="00391FE7">
      <w:r>
        <w:t xml:space="preserve">- Zakon o sustavu strateškog planiranja i upravljanja razvojem Republike Hrvatske </w:t>
      </w:r>
    </w:p>
    <w:p w:rsidR="002E3202" w:rsidRDefault="00391FE7">
      <w:r>
        <w:t xml:space="preserve">- Strategija razvoja željezničkog sustava Republike Hrvatske do 2032. godine </w:t>
      </w:r>
    </w:p>
    <w:p w:rsidR="002E3202" w:rsidRDefault="00391FE7">
      <w:r>
        <w:t xml:space="preserve">- Nacionalni plan upravljanja željezničkom infrastrukturom i uslužnim objektima i razvoja   </w:t>
      </w:r>
    </w:p>
    <w:p w:rsidR="002E3202" w:rsidRDefault="00391FE7">
      <w:r>
        <w:t xml:space="preserve">   usluga željezničkog prijevoza za razdoblje do 2030. godine </w:t>
      </w:r>
    </w:p>
    <w:p w:rsidR="002E3202" w:rsidRDefault="00391FE7">
      <w:r>
        <w:t xml:space="preserve">- Nacionalni plan razvoja željezničke infrastrukture za razdoblje do 2030. godine </w:t>
      </w:r>
    </w:p>
    <w:p w:rsidR="002E3202" w:rsidRDefault="00391FE7">
      <w:r>
        <w:t>- Ugovor o dodjeli bespovratnih sredstava za projekte financirane iz Nacionalnog plana oporavka i otpornosti 2021. - 2026. (NPOO) za  Projekt „Uklanjanje "uskih grla" na željezničkoj infrastrukturi“; referentni broj: NPOO.C1.4.R2-I3.01.0001.</w:t>
      </w:r>
    </w:p>
    <w:tbl>
      <w:tblPr>
        <w:tblStyle w:val="StilTablice"/>
        <w:tblW w:w="10206" w:type="dxa"/>
        <w:jc w:val="center"/>
        <w:tblLook w:val="04A0" w:firstRow="1" w:lastRow="0" w:firstColumn="1" w:lastColumn="0" w:noHBand="0" w:noVBand="1"/>
      </w:tblPr>
      <w:tblGrid>
        <w:gridCol w:w="1474"/>
        <w:gridCol w:w="1562"/>
        <w:gridCol w:w="1538"/>
        <w:gridCol w:w="1555"/>
        <w:gridCol w:w="1569"/>
        <w:gridCol w:w="1538"/>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T821082</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1632" w:type="dxa"/>
            <w:vAlign w:val="top"/>
          </w:tcPr>
          <w:p w:rsidR="002E3202" w:rsidRDefault="00391FE7">
            <w:pPr>
              <w:jc w:val="right"/>
            </w:pPr>
            <w:r>
              <w:t>626.000</w:t>
            </w:r>
          </w:p>
        </w:tc>
        <w:tc>
          <w:tcPr>
            <w:tcW w:w="1632" w:type="dxa"/>
            <w:vAlign w:val="top"/>
          </w:tcPr>
          <w:p w:rsidR="002E3202" w:rsidRDefault="00391FE7">
            <w:pPr>
              <w:jc w:val="right"/>
            </w:pPr>
            <w:r>
              <w:t>5.100.000</w:t>
            </w:r>
          </w:p>
        </w:tc>
        <w:tc>
          <w:tcPr>
            <w:tcW w:w="1632" w:type="dxa"/>
            <w:vAlign w:val="top"/>
          </w:tcPr>
          <w:p w:rsidR="002E3202" w:rsidRDefault="00391FE7">
            <w:pPr>
              <w:jc w:val="right"/>
            </w:pPr>
            <w:r>
              <w:t>00</w:t>
            </w:r>
          </w:p>
        </w:tc>
        <w:tc>
          <w:tcPr>
            <w:tcW w:w="510" w:type="dxa"/>
            <w:vAlign w:val="top"/>
          </w:tcPr>
          <w:p w:rsidR="002E3202" w:rsidRDefault="00391FE7">
            <w:pPr>
              <w:jc w:val="right"/>
            </w:pPr>
            <w:r>
              <w:t>0,0</w:t>
            </w:r>
          </w:p>
        </w:tc>
      </w:tr>
    </w:tbl>
    <w:p w:rsidR="002E3202" w:rsidRDefault="002E3202">
      <w:pPr>
        <w:jc w:val="left"/>
      </w:pPr>
    </w:p>
    <w:p w:rsidR="002E3202" w:rsidRDefault="00391FE7">
      <w:r>
        <w:t xml:space="preserve">Sukladno Nacionalnom planu oporavka i otpornosti 2021. - 2026., točka C1.4.R2-I3, Projekt Uklanjanje „uskih grla“ na željezničkoj infrastrukturi prihvaćen je za financiranje. Projekt obuhvaća izgradnju i rekonstrukciju objekata željezničke infrastrukture (mostova, vijadukata, propusta i usjeka) na željezničkoj mreži s ciljem poboljšanja infrastrukture, čime će se omogućiti povećanje sigurnosti željezničkog prometa i povećati kvaliteta željezničke mreže. </w:t>
      </w:r>
    </w:p>
    <w:p w:rsidR="002E3202" w:rsidRDefault="00391FE7">
      <w:r>
        <w:t>Radovi uklanjanja „uskih grla“ najvećim će se dijelom provesti na dionicama koje pripadaju TEN-T mreži, ali i na dionicama izvan TEN-T mreže. Rješavanjem uskih grla na željezničkoj mreži Hrvatske, značajno će se povećati brzina prometovanja, povećati sigurnost željezničkog prometa i poboljšati željeznička mreža, sukladno EU direktivama te Tehničkim specifikacijama za interoperabilnost (TSI).</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Uklonjena „uska grla“ na dionicama s trenutačnim ograničenjem brzine prometovanja od 60 km/h </w:t>
            </w:r>
          </w:p>
          <w:p w:rsidR="002E3202" w:rsidRDefault="00391FE7">
            <w:pPr>
              <w:pStyle w:val="CellColumn"/>
              <w:jc w:val="left"/>
            </w:pPr>
            <w:r>
              <w:rPr>
                <w:rFonts w:cs="Times New Roman"/>
              </w:rPr>
              <w:t>(godišnja vrijednost)</w:t>
            </w:r>
          </w:p>
        </w:tc>
        <w:tc>
          <w:tcPr>
            <w:tcW w:w="2245" w:type="dxa"/>
            <w:vAlign w:val="top"/>
          </w:tcPr>
          <w:p w:rsidR="002E3202" w:rsidRDefault="00391FE7">
            <w:pPr>
              <w:pStyle w:val="CellColumn"/>
              <w:jc w:val="left"/>
            </w:pPr>
            <w:r>
              <w:rPr>
                <w:rFonts w:cs="Times New Roman"/>
              </w:rPr>
              <w:t>Izvedeni radovi na uklanjanju „uskih grla“ s ciljem povećanje brzine prometovanja</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HŽI</w:t>
            </w:r>
          </w:p>
        </w:tc>
        <w:tc>
          <w:tcPr>
            <w:tcW w:w="918" w:type="dxa"/>
          </w:tcPr>
          <w:p w:rsidR="002E3202" w:rsidRDefault="00391FE7">
            <w:pPr>
              <w:jc w:val="center"/>
            </w:pPr>
            <w:r>
              <w:t>5</w:t>
            </w:r>
          </w:p>
        </w:tc>
        <w:tc>
          <w:tcPr>
            <w:tcW w:w="918" w:type="dxa"/>
          </w:tcPr>
          <w:p w:rsidR="002E3202" w:rsidRDefault="00391FE7">
            <w:pPr>
              <w:jc w:val="center"/>
            </w:pPr>
            <w:r>
              <w:t>12</w:t>
            </w:r>
          </w:p>
        </w:tc>
        <w:tc>
          <w:tcPr>
            <w:tcW w:w="918" w:type="dxa"/>
          </w:tcPr>
          <w:p w:rsidR="002E3202" w:rsidRDefault="00391FE7">
            <w:pPr>
              <w:jc w:val="center"/>
            </w:pPr>
            <w:r>
              <w:t>10</w:t>
            </w:r>
          </w:p>
        </w:tc>
      </w:tr>
    </w:tbl>
    <w:p w:rsidR="002E3202" w:rsidRDefault="002E3202">
      <w:pPr>
        <w:jc w:val="left"/>
      </w:pPr>
    </w:p>
    <w:p w:rsidR="002E3202" w:rsidRDefault="00391FE7">
      <w:pPr>
        <w:pStyle w:val="Heading3"/>
      </w:pPr>
      <w:r>
        <w:rPr>
          <w:rFonts w:cs="Times New Roman"/>
        </w:rPr>
        <w:t>3115 RAZVOJ UNUTARNJE PLOVIDBE</w:t>
      </w:r>
    </w:p>
    <w:tbl>
      <w:tblPr>
        <w:tblStyle w:val="StilTablice"/>
        <w:tblW w:w="10206" w:type="dxa"/>
        <w:jc w:val="center"/>
        <w:tblLook w:val="04A0" w:firstRow="1" w:lastRow="0" w:firstColumn="1" w:lastColumn="0" w:noHBand="0" w:noVBand="1"/>
      </w:tblPr>
      <w:tblGrid>
        <w:gridCol w:w="1427"/>
        <w:gridCol w:w="1559"/>
        <w:gridCol w:w="1560"/>
        <w:gridCol w:w="1560"/>
        <w:gridCol w:w="1560"/>
        <w:gridCol w:w="1570"/>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3115</w:t>
            </w:r>
          </w:p>
        </w:tc>
        <w:tc>
          <w:tcPr>
            <w:tcW w:w="1632" w:type="dxa"/>
          </w:tcPr>
          <w:p w:rsidR="002E3202" w:rsidRDefault="00391FE7">
            <w:pPr>
              <w:jc w:val="right"/>
            </w:pPr>
            <w:r>
              <w:t>2.803.426</w:t>
            </w:r>
          </w:p>
        </w:tc>
        <w:tc>
          <w:tcPr>
            <w:tcW w:w="1632" w:type="dxa"/>
          </w:tcPr>
          <w:p w:rsidR="002E3202" w:rsidRDefault="00391FE7">
            <w:pPr>
              <w:jc w:val="right"/>
            </w:pPr>
            <w:r>
              <w:t>4.130.453</w:t>
            </w:r>
          </w:p>
        </w:tc>
        <w:tc>
          <w:tcPr>
            <w:tcW w:w="1632" w:type="dxa"/>
          </w:tcPr>
          <w:p w:rsidR="002E3202" w:rsidRDefault="00391FE7">
            <w:pPr>
              <w:jc w:val="right"/>
            </w:pPr>
            <w:r>
              <w:t>7.521.002</w:t>
            </w:r>
          </w:p>
        </w:tc>
        <w:tc>
          <w:tcPr>
            <w:tcW w:w="1632" w:type="dxa"/>
          </w:tcPr>
          <w:p w:rsidR="002E3202" w:rsidRDefault="00391FE7">
            <w:pPr>
              <w:jc w:val="right"/>
            </w:pPr>
            <w:r>
              <w:t>8.213.900</w:t>
            </w:r>
          </w:p>
        </w:tc>
        <w:tc>
          <w:tcPr>
            <w:tcW w:w="1632" w:type="dxa"/>
          </w:tcPr>
          <w:p w:rsidR="002E3202" w:rsidRDefault="00391FE7">
            <w:pPr>
              <w:jc w:val="right"/>
            </w:pPr>
            <w:r>
              <w:t>14.771.600</w:t>
            </w:r>
          </w:p>
        </w:tc>
        <w:tc>
          <w:tcPr>
            <w:tcW w:w="510" w:type="dxa"/>
          </w:tcPr>
          <w:p w:rsidR="002E3202" w:rsidRDefault="00391FE7">
            <w:pPr>
              <w:jc w:val="right"/>
            </w:pPr>
            <w:r>
              <w:t>182,1</w:t>
            </w:r>
          </w:p>
        </w:tc>
      </w:tr>
    </w:tbl>
    <w:p w:rsidR="002E3202" w:rsidRDefault="002E3202">
      <w:pPr>
        <w:jc w:val="left"/>
      </w:pPr>
    </w:p>
    <w:p w:rsidR="002E3202" w:rsidRDefault="00391FE7">
      <w:pPr>
        <w:pStyle w:val="Heading8"/>
        <w:jc w:val="left"/>
      </w:pPr>
      <w:r>
        <w:t>Cilj 1. Razvijen sustav unutarnje plovidbe</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Povećana količina prekrcajnog tereta u lukama unutarnjih voda</w:t>
            </w:r>
          </w:p>
        </w:tc>
        <w:tc>
          <w:tcPr>
            <w:tcW w:w="2245" w:type="dxa"/>
            <w:vAlign w:val="top"/>
          </w:tcPr>
          <w:p w:rsidR="002E3202" w:rsidRDefault="00391FE7">
            <w:pPr>
              <w:pStyle w:val="CellColumn"/>
              <w:jc w:val="left"/>
            </w:pPr>
            <w:r>
              <w:rPr>
                <w:rFonts w:cs="Times New Roman"/>
              </w:rPr>
              <w:t>Ukupna količina prekrcajnog tereta u lukama unutarnjih voda</w:t>
            </w:r>
          </w:p>
        </w:tc>
        <w:tc>
          <w:tcPr>
            <w:tcW w:w="918" w:type="dxa"/>
          </w:tcPr>
          <w:p w:rsidR="002E3202" w:rsidRDefault="00391FE7">
            <w:pPr>
              <w:jc w:val="center"/>
            </w:pPr>
            <w:r>
              <w:t>tona</w:t>
            </w:r>
          </w:p>
        </w:tc>
        <w:tc>
          <w:tcPr>
            <w:tcW w:w="918" w:type="dxa"/>
          </w:tcPr>
          <w:p w:rsidR="002E3202" w:rsidRDefault="00391FE7">
            <w:pPr>
              <w:jc w:val="center"/>
            </w:pPr>
            <w:r>
              <w:t>819.013</w:t>
            </w:r>
          </w:p>
        </w:tc>
        <w:tc>
          <w:tcPr>
            <w:tcW w:w="918" w:type="dxa"/>
          </w:tcPr>
          <w:p w:rsidR="002E3202" w:rsidRDefault="00391FE7">
            <w:pPr>
              <w:pStyle w:val="CellColumn"/>
              <w:jc w:val="center"/>
            </w:pPr>
            <w:r>
              <w:rPr>
                <w:rFonts w:cs="Times New Roman"/>
              </w:rPr>
              <w:t xml:space="preserve">Lučke uprave </w:t>
            </w:r>
          </w:p>
          <w:p w:rsidR="002E3202" w:rsidRDefault="00391FE7">
            <w:pPr>
              <w:pStyle w:val="CellColumn"/>
              <w:jc w:val="center"/>
            </w:pPr>
            <w:r>
              <w:rPr>
                <w:rFonts w:cs="Times New Roman"/>
              </w:rPr>
              <w:t xml:space="preserve">unutarnjih voda </w:t>
            </w:r>
          </w:p>
          <w:p w:rsidR="002E3202" w:rsidRDefault="00391FE7">
            <w:pPr>
              <w:pStyle w:val="CellColumn"/>
              <w:jc w:val="center"/>
            </w:pPr>
            <w:r>
              <w:rPr>
                <w:rFonts w:cs="Times New Roman"/>
              </w:rPr>
              <w:t xml:space="preserve">(Vukovar, </w:t>
            </w:r>
          </w:p>
          <w:p w:rsidR="002E3202" w:rsidRDefault="00391FE7">
            <w:pPr>
              <w:pStyle w:val="CellColumn"/>
              <w:jc w:val="center"/>
            </w:pPr>
            <w:r>
              <w:rPr>
                <w:rFonts w:cs="Times New Roman"/>
              </w:rPr>
              <w:t xml:space="preserve">Osijek, </w:t>
            </w:r>
          </w:p>
          <w:p w:rsidR="002E3202" w:rsidRDefault="00391FE7">
            <w:pPr>
              <w:pStyle w:val="CellColumn"/>
              <w:jc w:val="center"/>
            </w:pPr>
            <w:r>
              <w:rPr>
                <w:rFonts w:cs="Times New Roman"/>
              </w:rPr>
              <w:t xml:space="preserve">Slavonski </w:t>
            </w:r>
          </w:p>
          <w:p w:rsidR="002E3202" w:rsidRDefault="00391FE7">
            <w:pPr>
              <w:pStyle w:val="CellColumn"/>
              <w:jc w:val="center"/>
            </w:pPr>
            <w:r>
              <w:rPr>
                <w:rFonts w:cs="Times New Roman"/>
              </w:rPr>
              <w:t xml:space="preserve">Brod, </w:t>
            </w:r>
          </w:p>
          <w:p w:rsidR="002E3202" w:rsidRDefault="00391FE7">
            <w:pPr>
              <w:pStyle w:val="CellColumn"/>
              <w:jc w:val="center"/>
            </w:pPr>
            <w:r>
              <w:rPr>
                <w:rFonts w:cs="Times New Roman"/>
              </w:rPr>
              <w:t>Sisak)</w:t>
            </w:r>
          </w:p>
        </w:tc>
        <w:tc>
          <w:tcPr>
            <w:tcW w:w="918" w:type="dxa"/>
          </w:tcPr>
          <w:p w:rsidR="002E3202" w:rsidRDefault="00391FE7">
            <w:pPr>
              <w:jc w:val="center"/>
            </w:pPr>
            <w:r>
              <w:t>950.000</w:t>
            </w:r>
          </w:p>
        </w:tc>
        <w:tc>
          <w:tcPr>
            <w:tcW w:w="918" w:type="dxa"/>
          </w:tcPr>
          <w:p w:rsidR="002E3202" w:rsidRDefault="00391FE7">
            <w:pPr>
              <w:jc w:val="center"/>
            </w:pPr>
            <w:r>
              <w:t>1.100.000</w:t>
            </w:r>
          </w:p>
        </w:tc>
        <w:tc>
          <w:tcPr>
            <w:tcW w:w="918" w:type="dxa"/>
          </w:tcPr>
          <w:p w:rsidR="002E3202" w:rsidRDefault="00391FE7">
            <w:pPr>
              <w:jc w:val="center"/>
            </w:pPr>
            <w:r>
              <w:t>1.300.000</w:t>
            </w:r>
          </w:p>
        </w:tc>
      </w:tr>
      <w:tr w:rsidR="002E3202">
        <w:trPr>
          <w:jc w:val="center"/>
        </w:trPr>
        <w:tc>
          <w:tcPr>
            <w:tcW w:w="2245" w:type="dxa"/>
            <w:vAlign w:val="top"/>
          </w:tcPr>
          <w:p w:rsidR="002E3202" w:rsidRDefault="00391FE7">
            <w:pPr>
              <w:pStyle w:val="CellColumn"/>
              <w:jc w:val="left"/>
            </w:pPr>
            <w:r>
              <w:rPr>
                <w:rFonts w:cs="Times New Roman"/>
              </w:rPr>
              <w:t xml:space="preserve">Povećan broj putnika u </w:t>
            </w:r>
          </w:p>
          <w:p w:rsidR="002E3202" w:rsidRDefault="00391FE7">
            <w:pPr>
              <w:pStyle w:val="CellColumn"/>
              <w:jc w:val="left"/>
            </w:pPr>
            <w:r>
              <w:rPr>
                <w:rFonts w:cs="Times New Roman"/>
              </w:rPr>
              <w:t xml:space="preserve">pristaništima unutarnjih </w:t>
            </w:r>
          </w:p>
          <w:p w:rsidR="002E3202" w:rsidRDefault="00391FE7">
            <w:pPr>
              <w:pStyle w:val="CellColumn"/>
              <w:jc w:val="left"/>
            </w:pPr>
            <w:r>
              <w:rPr>
                <w:rFonts w:cs="Times New Roman"/>
              </w:rPr>
              <w:t>voda</w:t>
            </w:r>
          </w:p>
        </w:tc>
        <w:tc>
          <w:tcPr>
            <w:tcW w:w="2245" w:type="dxa"/>
            <w:vAlign w:val="top"/>
          </w:tcPr>
          <w:p w:rsidR="002E3202" w:rsidRDefault="00391FE7">
            <w:pPr>
              <w:pStyle w:val="CellColumn"/>
              <w:jc w:val="left"/>
            </w:pPr>
            <w:r>
              <w:rPr>
                <w:rFonts w:cs="Times New Roman"/>
              </w:rPr>
              <w:t xml:space="preserve">Ukupna količina </w:t>
            </w:r>
          </w:p>
          <w:p w:rsidR="002E3202" w:rsidRDefault="00391FE7">
            <w:pPr>
              <w:pStyle w:val="CellColumn"/>
              <w:jc w:val="left"/>
            </w:pPr>
            <w:r>
              <w:rPr>
                <w:rFonts w:cs="Times New Roman"/>
              </w:rPr>
              <w:t xml:space="preserve">prevezenih putnika u </w:t>
            </w:r>
          </w:p>
          <w:p w:rsidR="002E3202" w:rsidRDefault="00391FE7">
            <w:pPr>
              <w:pStyle w:val="CellColumn"/>
              <w:jc w:val="left"/>
            </w:pPr>
            <w:r>
              <w:rPr>
                <w:rFonts w:cs="Times New Roman"/>
              </w:rPr>
              <w:t xml:space="preserve">domaćem i međunarodnom prometu u pristaništima unutarnjih </w:t>
            </w:r>
          </w:p>
          <w:p w:rsidR="002E3202" w:rsidRDefault="00391FE7">
            <w:pPr>
              <w:pStyle w:val="CellColumn"/>
              <w:jc w:val="left"/>
            </w:pPr>
            <w:r>
              <w:rPr>
                <w:rFonts w:cs="Times New Roman"/>
              </w:rPr>
              <w:t>voda</w:t>
            </w:r>
          </w:p>
        </w:tc>
        <w:tc>
          <w:tcPr>
            <w:tcW w:w="918" w:type="dxa"/>
          </w:tcPr>
          <w:p w:rsidR="002E3202" w:rsidRDefault="00391FE7">
            <w:pPr>
              <w:jc w:val="center"/>
            </w:pPr>
            <w:r>
              <w:t>broj putnika</w:t>
            </w:r>
          </w:p>
        </w:tc>
        <w:tc>
          <w:tcPr>
            <w:tcW w:w="918" w:type="dxa"/>
          </w:tcPr>
          <w:p w:rsidR="002E3202" w:rsidRDefault="00391FE7">
            <w:pPr>
              <w:jc w:val="center"/>
            </w:pPr>
            <w:r>
              <w:t>1.150.612</w:t>
            </w:r>
          </w:p>
        </w:tc>
        <w:tc>
          <w:tcPr>
            <w:tcW w:w="918" w:type="dxa"/>
          </w:tcPr>
          <w:p w:rsidR="002E3202" w:rsidRDefault="00391FE7">
            <w:pPr>
              <w:pStyle w:val="CellColumn"/>
              <w:jc w:val="center"/>
            </w:pPr>
            <w:r>
              <w:rPr>
                <w:rFonts w:cs="Times New Roman"/>
              </w:rPr>
              <w:t xml:space="preserve">Lučke uprave </w:t>
            </w:r>
          </w:p>
          <w:p w:rsidR="002E3202" w:rsidRDefault="00391FE7">
            <w:pPr>
              <w:pStyle w:val="CellColumn"/>
              <w:jc w:val="center"/>
            </w:pPr>
            <w:r>
              <w:rPr>
                <w:rFonts w:cs="Times New Roman"/>
              </w:rPr>
              <w:t xml:space="preserve">unutarnjih voda </w:t>
            </w:r>
          </w:p>
          <w:p w:rsidR="002E3202" w:rsidRDefault="00391FE7">
            <w:pPr>
              <w:pStyle w:val="CellColumn"/>
              <w:jc w:val="center"/>
            </w:pPr>
            <w:r>
              <w:rPr>
                <w:rFonts w:cs="Times New Roman"/>
              </w:rPr>
              <w:t xml:space="preserve">(Vukovar, </w:t>
            </w:r>
          </w:p>
          <w:p w:rsidR="002E3202" w:rsidRDefault="00391FE7">
            <w:pPr>
              <w:pStyle w:val="CellColumn"/>
              <w:jc w:val="center"/>
            </w:pPr>
            <w:r>
              <w:rPr>
                <w:rFonts w:cs="Times New Roman"/>
              </w:rPr>
              <w:t xml:space="preserve">Osijek, </w:t>
            </w:r>
          </w:p>
          <w:p w:rsidR="002E3202" w:rsidRDefault="00391FE7">
            <w:pPr>
              <w:pStyle w:val="CellColumn"/>
              <w:jc w:val="center"/>
            </w:pPr>
            <w:r>
              <w:rPr>
                <w:rFonts w:cs="Times New Roman"/>
              </w:rPr>
              <w:t xml:space="preserve">Slavonski </w:t>
            </w:r>
          </w:p>
          <w:p w:rsidR="002E3202" w:rsidRDefault="00391FE7">
            <w:pPr>
              <w:pStyle w:val="CellColumn"/>
              <w:jc w:val="center"/>
            </w:pPr>
            <w:r>
              <w:rPr>
                <w:rFonts w:cs="Times New Roman"/>
              </w:rPr>
              <w:t xml:space="preserve">Brod, </w:t>
            </w:r>
          </w:p>
          <w:p w:rsidR="002E3202" w:rsidRDefault="00391FE7">
            <w:pPr>
              <w:pStyle w:val="CellColumn"/>
              <w:jc w:val="center"/>
            </w:pPr>
            <w:r>
              <w:rPr>
                <w:rFonts w:cs="Times New Roman"/>
              </w:rPr>
              <w:t>Sisak)</w:t>
            </w:r>
          </w:p>
        </w:tc>
        <w:tc>
          <w:tcPr>
            <w:tcW w:w="918" w:type="dxa"/>
          </w:tcPr>
          <w:p w:rsidR="002E3202" w:rsidRDefault="00391FE7">
            <w:pPr>
              <w:jc w:val="center"/>
            </w:pPr>
            <w:r>
              <w:t>1.255.000</w:t>
            </w:r>
          </w:p>
        </w:tc>
        <w:tc>
          <w:tcPr>
            <w:tcW w:w="918" w:type="dxa"/>
          </w:tcPr>
          <w:p w:rsidR="002E3202" w:rsidRDefault="00391FE7">
            <w:pPr>
              <w:jc w:val="center"/>
            </w:pPr>
            <w:r>
              <w:t>1.370.000</w:t>
            </w:r>
          </w:p>
        </w:tc>
        <w:tc>
          <w:tcPr>
            <w:tcW w:w="918" w:type="dxa"/>
          </w:tcPr>
          <w:p w:rsidR="002E3202" w:rsidRDefault="00391FE7">
            <w:pPr>
              <w:jc w:val="center"/>
            </w:pPr>
            <w:r>
              <w:t>1.500.000</w:t>
            </w:r>
          </w:p>
        </w:tc>
      </w:tr>
    </w:tbl>
    <w:p w:rsidR="002E3202" w:rsidRDefault="002E3202">
      <w:pPr>
        <w:jc w:val="left"/>
      </w:pPr>
    </w:p>
    <w:p w:rsidR="002E3202" w:rsidRDefault="00391FE7">
      <w:pPr>
        <w:pStyle w:val="Heading4"/>
      </w:pPr>
      <w:r>
        <w:t>A570445 POMOĆ JEDINICAMA LOKALNE I REGIONALNE SAMOUPRAVE ZA RAZVOJ RIJEČNOG PROMETA I ŽUPANIJSKIH LUKA I PRISTANIŠTA</w:t>
      </w:r>
    </w:p>
    <w:p w:rsidR="002E3202" w:rsidRDefault="00391FE7">
      <w:pPr>
        <w:pStyle w:val="Heading8"/>
        <w:jc w:val="left"/>
      </w:pPr>
      <w:r>
        <w:t>Zakonske i druge pravne osnove</w:t>
      </w:r>
    </w:p>
    <w:p w:rsidR="002E3202" w:rsidRDefault="00391FE7">
      <w:r>
        <w:t xml:space="preserve">- Zakon o plovidbi i lukama unutarnjih voda; članak 2. </w:t>
      </w:r>
    </w:p>
    <w:p w:rsidR="002E3202" w:rsidRDefault="00391FE7">
      <w:r>
        <w:t xml:space="preserve">- Pravilnik o plovidbi na unutarnjim vodama; članak 11.11, stavak 15. </w:t>
      </w:r>
    </w:p>
    <w:p w:rsidR="002E3202" w:rsidRDefault="00391FE7">
      <w:r>
        <w:t xml:space="preserve">- Odluka o sufinanciranju troškova vezanih uz plovila za prijevoz putnika i roba na unutarnjim vodama  </w:t>
      </w:r>
    </w:p>
    <w:p w:rsidR="002E3202" w:rsidRDefault="00391FE7">
      <w:r>
        <w:t>- Ugovor o sufinanciranju troškova vezanih uz plovila za prijevoz putnika i roba na unutarnjim vodama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A570445</w:t>
            </w:r>
          </w:p>
        </w:tc>
        <w:tc>
          <w:tcPr>
            <w:tcW w:w="1632" w:type="dxa"/>
            <w:vAlign w:val="top"/>
          </w:tcPr>
          <w:p w:rsidR="002E3202" w:rsidRDefault="00391FE7">
            <w:pPr>
              <w:jc w:val="right"/>
            </w:pPr>
            <w:r>
              <w:t>339.226</w:t>
            </w:r>
          </w:p>
        </w:tc>
        <w:tc>
          <w:tcPr>
            <w:tcW w:w="1632" w:type="dxa"/>
            <w:vAlign w:val="top"/>
          </w:tcPr>
          <w:p w:rsidR="002E3202" w:rsidRDefault="00391FE7">
            <w:pPr>
              <w:jc w:val="right"/>
            </w:pPr>
            <w:r>
              <w:t>265.446</w:t>
            </w:r>
          </w:p>
        </w:tc>
        <w:tc>
          <w:tcPr>
            <w:tcW w:w="1632" w:type="dxa"/>
            <w:vAlign w:val="top"/>
          </w:tcPr>
          <w:p w:rsidR="002E3202" w:rsidRDefault="00391FE7">
            <w:pPr>
              <w:jc w:val="right"/>
            </w:pPr>
            <w:r>
              <w:t>400.000</w:t>
            </w:r>
          </w:p>
        </w:tc>
        <w:tc>
          <w:tcPr>
            <w:tcW w:w="1632" w:type="dxa"/>
            <w:vAlign w:val="top"/>
          </w:tcPr>
          <w:p w:rsidR="002E3202" w:rsidRDefault="00391FE7">
            <w:pPr>
              <w:jc w:val="right"/>
            </w:pPr>
            <w:r>
              <w:t>270.000</w:t>
            </w:r>
          </w:p>
        </w:tc>
        <w:tc>
          <w:tcPr>
            <w:tcW w:w="1632" w:type="dxa"/>
            <w:vAlign w:val="top"/>
          </w:tcPr>
          <w:p w:rsidR="002E3202" w:rsidRDefault="00391FE7">
            <w:pPr>
              <w:jc w:val="right"/>
            </w:pPr>
            <w:r>
              <w:t>290.000</w:t>
            </w:r>
          </w:p>
        </w:tc>
        <w:tc>
          <w:tcPr>
            <w:tcW w:w="510" w:type="dxa"/>
            <w:vAlign w:val="top"/>
          </w:tcPr>
          <w:p w:rsidR="002E3202" w:rsidRDefault="00391FE7">
            <w:pPr>
              <w:jc w:val="right"/>
            </w:pPr>
            <w:r>
              <w:t>150,7</w:t>
            </w:r>
          </w:p>
        </w:tc>
      </w:tr>
    </w:tbl>
    <w:p w:rsidR="002E3202" w:rsidRDefault="002E3202">
      <w:pPr>
        <w:jc w:val="left"/>
      </w:pPr>
    </w:p>
    <w:p w:rsidR="002E3202" w:rsidRDefault="00391FE7">
      <w:r>
        <w:t xml:space="preserve">U proračunskom razdoblju 2024. - 2026. planirana su sredstva za pomoć u sufinanciranju kapitalnih troškova obnove i troškova tekućih ulaganja u plovila i održivost prijevoza putnika i stvari u vlasništvu jedinica lokalne i regionalne samouprave, a u svrhu sigurne i nesmetane plovidbe na međunarodnim, međudržavnim i državnim vodnim putovima. Cilj i svrha ove aktivnosti je osiguravanje prometne povezanosti i razvoj prometne usluge ovog vida prometa uz poticaj razvoja prometno slabije razvijenih regija, što se ostvaruje kroz financijsku pomoć jedinicama lokalne i područne (regionalne) samouprave i kroz sufinanciranje troškova održavanja flote za prijevoz putnika i roba u njihovom vlasništvu.  </w:t>
      </w:r>
    </w:p>
    <w:p w:rsidR="002E3202" w:rsidRDefault="00391FE7">
      <w:r>
        <w:t xml:space="preserve">Navedena aktivnost je od velikog značaja za daljnji razvoj i povezivanje slabije razvijenih regija i ulaganja u održivu budućnost. U narednom periodu se planiraju povećati ulaganja, kao rezultat praćenja prethodnih godina, gdje je uočena intencija rasta broja zahtjeva za dodjelu pomoći i povećanja potreba za ulaganjima u plovila (skele) i skelske prijelaze. </w:t>
      </w:r>
    </w:p>
    <w:p w:rsidR="002E3202" w:rsidRDefault="00391FE7">
      <w:r>
        <w:t>Planirana financijskih sredstava  u 2024., 2025. i 2026. godini odnose se na dodatna tekuća i kapitalna ulaganja za obnovu skela zbog lošeg tehničkog stanja istih, a u svrhu ispunjavanja tehničkih zahtjeva te sigurnosti plovidbe u smislu zaštite putnika, tereta i okoliša. Provedbom ove aktivnosti osigurat će se žiteljima i posjetiteljima nedovoljno prometno razvijenih područja mogućnost sigurnog prijelaza preko rijeke i na taj način nesmetano kretanje ljudi i dobara.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 xml:space="preserve">Pokazatelj rezultata </w:t>
            </w:r>
          </w:p>
          <w:p w:rsidR="002E3202" w:rsidRDefault="00391FE7">
            <w:pPr>
              <w:pStyle w:val="CellColumn"/>
              <w:jc w:val="left"/>
            </w:pPr>
            <w:r>
              <w:rPr>
                <w:rFonts w:cs="Times New Roman"/>
              </w:rPr>
              <w:t>Broj plovila u vlasništvu jedinica lokalne i regionalne samouprave kojima se dodjeljuje pomoć</w:t>
            </w:r>
          </w:p>
        </w:tc>
        <w:tc>
          <w:tcPr>
            <w:tcW w:w="2245" w:type="dxa"/>
            <w:vAlign w:val="top"/>
          </w:tcPr>
          <w:p w:rsidR="002E3202" w:rsidRDefault="00391FE7">
            <w:pPr>
              <w:pStyle w:val="CellColumn"/>
              <w:jc w:val="left"/>
            </w:pPr>
            <w:r>
              <w:rPr>
                <w:rFonts w:cs="Times New Roman"/>
              </w:rPr>
              <w:t>Ulaganjem u plovila za prijevoz putnika i roba u vlasništvu jedinica lokalne i regionalne samouprave osigurava se optimalna razina kvalitete povezanosti</w:t>
            </w:r>
          </w:p>
        </w:tc>
        <w:tc>
          <w:tcPr>
            <w:tcW w:w="918" w:type="dxa"/>
          </w:tcPr>
          <w:p w:rsidR="002E3202" w:rsidRDefault="00391FE7">
            <w:pPr>
              <w:jc w:val="center"/>
            </w:pPr>
            <w:r>
              <w:t>broj</w:t>
            </w:r>
          </w:p>
        </w:tc>
        <w:tc>
          <w:tcPr>
            <w:tcW w:w="918" w:type="dxa"/>
          </w:tcPr>
          <w:p w:rsidR="002E3202" w:rsidRDefault="00391FE7">
            <w:pPr>
              <w:jc w:val="center"/>
            </w:pPr>
            <w:r>
              <w:t>7</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7</w:t>
            </w:r>
          </w:p>
        </w:tc>
        <w:tc>
          <w:tcPr>
            <w:tcW w:w="918" w:type="dxa"/>
          </w:tcPr>
          <w:p w:rsidR="002E3202" w:rsidRDefault="00391FE7">
            <w:pPr>
              <w:jc w:val="center"/>
            </w:pPr>
            <w:r>
              <w:t>7</w:t>
            </w:r>
          </w:p>
        </w:tc>
        <w:tc>
          <w:tcPr>
            <w:tcW w:w="918" w:type="dxa"/>
          </w:tcPr>
          <w:p w:rsidR="002E3202" w:rsidRDefault="00391FE7">
            <w:pPr>
              <w:jc w:val="center"/>
            </w:pPr>
            <w:r>
              <w:t>7</w:t>
            </w:r>
          </w:p>
        </w:tc>
      </w:tr>
    </w:tbl>
    <w:p w:rsidR="002E3202" w:rsidRDefault="002E3202">
      <w:pPr>
        <w:jc w:val="left"/>
      </w:pPr>
    </w:p>
    <w:p w:rsidR="002E3202" w:rsidRDefault="00391FE7">
      <w:pPr>
        <w:pStyle w:val="Heading4"/>
      </w:pPr>
      <w:r>
        <w:t>A754036 PRIPREMA PROJEKATA I PLANSKIH DOKUMENATA U UNUTARNJOJ PLOVIDBI</w:t>
      </w:r>
    </w:p>
    <w:p w:rsidR="002E3202" w:rsidRDefault="00391FE7">
      <w:pPr>
        <w:pStyle w:val="Heading8"/>
        <w:jc w:val="left"/>
      </w:pPr>
      <w:r>
        <w:t>Zakonske i druge pravne osnove</w:t>
      </w:r>
    </w:p>
    <w:p w:rsidR="002E3202" w:rsidRDefault="00391FE7">
      <w:r>
        <w:t xml:space="preserve">- Zakon o plovidbi i lukama unutarnjih voda  </w:t>
      </w:r>
    </w:p>
    <w:p w:rsidR="002E3202" w:rsidRDefault="00391FE7">
      <w:r>
        <w:t>- Strategija prometnog razvoja Republike Hrvatske za razdoblje od 2014. do 2030.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A754036</w:t>
            </w:r>
          </w:p>
        </w:tc>
        <w:tc>
          <w:tcPr>
            <w:tcW w:w="1632" w:type="dxa"/>
            <w:vAlign w:val="top"/>
          </w:tcPr>
          <w:p w:rsidR="002E3202" w:rsidRDefault="00391FE7">
            <w:pPr>
              <w:jc w:val="right"/>
            </w:pPr>
            <w:r>
              <w:t>00</w:t>
            </w:r>
          </w:p>
        </w:tc>
        <w:tc>
          <w:tcPr>
            <w:tcW w:w="1632" w:type="dxa"/>
            <w:vAlign w:val="top"/>
          </w:tcPr>
          <w:p w:rsidR="002E3202" w:rsidRDefault="00391FE7">
            <w:pPr>
              <w:jc w:val="right"/>
            </w:pPr>
            <w:r>
              <w:t>156.384</w:t>
            </w:r>
          </w:p>
        </w:tc>
        <w:tc>
          <w:tcPr>
            <w:tcW w:w="1632" w:type="dxa"/>
            <w:vAlign w:val="top"/>
          </w:tcPr>
          <w:p w:rsidR="002E3202" w:rsidRDefault="00391FE7">
            <w:pPr>
              <w:jc w:val="right"/>
            </w:pPr>
            <w:r>
              <w:t>456.300</w:t>
            </w:r>
          </w:p>
        </w:tc>
        <w:tc>
          <w:tcPr>
            <w:tcW w:w="1632" w:type="dxa"/>
            <w:vAlign w:val="top"/>
          </w:tcPr>
          <w:p w:rsidR="002E3202" w:rsidRDefault="00391FE7">
            <w:pPr>
              <w:jc w:val="right"/>
            </w:pPr>
            <w:r>
              <w:t>556.300</w:t>
            </w:r>
          </w:p>
        </w:tc>
        <w:tc>
          <w:tcPr>
            <w:tcW w:w="1632" w:type="dxa"/>
            <w:vAlign w:val="top"/>
          </w:tcPr>
          <w:p w:rsidR="002E3202" w:rsidRDefault="00391FE7">
            <w:pPr>
              <w:jc w:val="right"/>
            </w:pPr>
            <w:r>
              <w:t>440.000</w:t>
            </w:r>
          </w:p>
        </w:tc>
        <w:tc>
          <w:tcPr>
            <w:tcW w:w="510" w:type="dxa"/>
            <w:vAlign w:val="top"/>
          </w:tcPr>
          <w:p w:rsidR="002E3202" w:rsidRDefault="00391FE7">
            <w:pPr>
              <w:jc w:val="right"/>
            </w:pPr>
            <w:r>
              <w:t>291,8</w:t>
            </w:r>
          </w:p>
        </w:tc>
      </w:tr>
    </w:tbl>
    <w:p w:rsidR="002E3202" w:rsidRDefault="002E3202">
      <w:pPr>
        <w:jc w:val="left"/>
      </w:pPr>
    </w:p>
    <w:p w:rsidR="002E3202" w:rsidRDefault="00391FE7">
      <w:r>
        <w:t xml:space="preserve">Aktivnost se provodi svake godine i obuhvaća tehničku podršku na izradi svih podloga i planskih dokumenata za razvoj riječnog prometa Republike Hrvatske, kako bi se postigla ujednačena razvijenost prometne infrastrukture, kvalitete i sigurnosti prometa na unutarnjim vodama. Putem ove aktivnosti osigurat će se preduvjeti za realizaciju razvojnih projekata u unutarnjoj plovidbi i to kroz: pripremu projektno-tehničke dokumentacije projekata u vidu projektnih zadataka, studija predizvodljivosti, studija izvodljivosti, ekonomskih i financijskih analiza, studija utjecaja na okoliš i ostalih aktivnosti vezanih uz obuhvate zahvata u ekološkoj mreži te ostalih dokumenata vezanih uz razvoj projekata, a sve sa ciljem izrade stručnih podloga za prijavu projekata za financiranje iz EU fondova.  </w:t>
      </w:r>
    </w:p>
    <w:p w:rsidR="002E3202" w:rsidRDefault="00391FE7">
      <w:r>
        <w:t xml:space="preserve">U okviru ove aktivnosti, za naredno proračunsko razdoblje, planirana su sredstva za pripremu i izradu projektno-tehničke dokumentacije u svrhu realizacije projekata unutarnje plovidbe te pružanje administrativne i tehničke pomoći djelatnicima koji rade na projektu. </w:t>
      </w:r>
    </w:p>
    <w:p w:rsidR="002E3202" w:rsidRDefault="00391FE7">
      <w:r>
        <w:t xml:space="preserve"> U 2024. godini dodatno se planira uspostava aplikacijskog sustava i baze podataka za svjedodžbe za prijevoz opasnih tvari u unutarnjoj plovidbi.</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pripremljenih/izrađenih projekata, planskih/strateških dokumenata</w:t>
            </w:r>
          </w:p>
        </w:tc>
        <w:tc>
          <w:tcPr>
            <w:tcW w:w="2245" w:type="dxa"/>
            <w:vAlign w:val="top"/>
          </w:tcPr>
          <w:p w:rsidR="002E3202" w:rsidRDefault="00391FE7">
            <w:pPr>
              <w:pStyle w:val="CellColumn"/>
              <w:jc w:val="left"/>
            </w:pPr>
            <w:r>
              <w:rPr>
                <w:rFonts w:cs="Times New Roman"/>
              </w:rPr>
              <w:t>Priprema projekata i planskih dokumenta u svrhu povećanja razvoja prometne infrastrukure i sigurnosti plovidbe na unutarnjim vodama</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4</w:t>
            </w:r>
          </w:p>
        </w:tc>
        <w:tc>
          <w:tcPr>
            <w:tcW w:w="918" w:type="dxa"/>
          </w:tcPr>
          <w:p w:rsidR="002E3202" w:rsidRDefault="00391FE7">
            <w:pPr>
              <w:jc w:val="center"/>
            </w:pPr>
            <w:r>
              <w:t>4</w:t>
            </w:r>
          </w:p>
        </w:tc>
        <w:tc>
          <w:tcPr>
            <w:tcW w:w="918" w:type="dxa"/>
          </w:tcPr>
          <w:p w:rsidR="002E3202" w:rsidRDefault="00391FE7">
            <w:pPr>
              <w:jc w:val="center"/>
            </w:pPr>
            <w:r>
              <w:t>3</w:t>
            </w:r>
          </w:p>
        </w:tc>
      </w:tr>
    </w:tbl>
    <w:p w:rsidR="002E3202" w:rsidRDefault="002E3202">
      <w:pPr>
        <w:jc w:val="left"/>
      </w:pPr>
    </w:p>
    <w:p w:rsidR="002E3202" w:rsidRDefault="00391FE7">
      <w:pPr>
        <w:pStyle w:val="Heading4"/>
      </w:pPr>
      <w:r>
        <w:t>A810015 POTPORA BRODARIMA UNUTARNJE PLOVIDBE U NACIONALNOM PRIJEVOZU</w:t>
      </w:r>
    </w:p>
    <w:p w:rsidR="002E3202" w:rsidRDefault="00391FE7">
      <w:pPr>
        <w:pStyle w:val="Heading8"/>
        <w:jc w:val="left"/>
      </w:pPr>
      <w:r>
        <w:t>Zakonske i druge pravne osnove</w:t>
      </w:r>
    </w:p>
    <w:p w:rsidR="002E3202" w:rsidRDefault="00391FE7">
      <w:r>
        <w:t xml:space="preserve">- Zakon o plovidbi i lukama unutarnjih voda; članak 2. </w:t>
      </w:r>
    </w:p>
    <w:p w:rsidR="002E3202" w:rsidRDefault="00391FE7">
      <w:r>
        <w:t xml:space="preserve">- Zakon o državnim potporama; članak 10. </w:t>
      </w:r>
    </w:p>
    <w:p w:rsidR="002E3202" w:rsidRDefault="00391FE7">
      <w:r>
        <w:t xml:space="preserve">- Uredba Komisije (EU) br.: 1407/2013 оd 18. prosinca 2013. o primjeni članaka 107. i 108. Ugovora o funkcioniranju Europske unije na de minimis potpore </w:t>
      </w:r>
    </w:p>
    <w:p w:rsidR="002E3202" w:rsidRDefault="00391FE7">
      <w:r>
        <w:t>- Uredba Komisije (EU) br.: 2020/972 оd 2. srpnja 2020. o izmjeni Uredbe (EU) br. 1407/2013 u pogledu njezina produljenja i o izmjeni Uredbe (EU) br. 651/2014 u pogledu njezina produljenja i odgovarajućih prilagodbi</w:t>
      </w:r>
    </w:p>
    <w:tbl>
      <w:tblPr>
        <w:tblStyle w:val="StilTablice"/>
        <w:tblW w:w="10206" w:type="dxa"/>
        <w:jc w:val="center"/>
        <w:tblLook w:val="04A0" w:firstRow="1" w:lastRow="0" w:firstColumn="1" w:lastColumn="0" w:noHBand="0" w:noVBand="1"/>
      </w:tblPr>
      <w:tblGrid>
        <w:gridCol w:w="1469"/>
        <w:gridCol w:w="1557"/>
        <w:gridCol w:w="1549"/>
        <w:gridCol w:w="1549"/>
        <w:gridCol w:w="1549"/>
        <w:gridCol w:w="1563"/>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A810015</w:t>
            </w:r>
          </w:p>
        </w:tc>
        <w:tc>
          <w:tcPr>
            <w:tcW w:w="1632" w:type="dxa"/>
            <w:vAlign w:val="top"/>
          </w:tcPr>
          <w:p w:rsidR="002E3202" w:rsidRDefault="00391FE7">
            <w:pPr>
              <w:jc w:val="right"/>
            </w:pPr>
            <w:r>
              <w:t>596.126</w:t>
            </w:r>
          </w:p>
        </w:tc>
        <w:tc>
          <w:tcPr>
            <w:tcW w:w="1632" w:type="dxa"/>
            <w:vAlign w:val="top"/>
          </w:tcPr>
          <w:p w:rsidR="002E3202" w:rsidRDefault="00391FE7">
            <w:pPr>
              <w:jc w:val="right"/>
            </w:pPr>
            <w:r>
              <w:t>735.000</w:t>
            </w:r>
          </w:p>
        </w:tc>
        <w:tc>
          <w:tcPr>
            <w:tcW w:w="1632" w:type="dxa"/>
            <w:vAlign w:val="top"/>
          </w:tcPr>
          <w:p w:rsidR="002E3202" w:rsidRDefault="00391FE7">
            <w:pPr>
              <w:jc w:val="right"/>
            </w:pPr>
            <w:r>
              <w:t>800.000</w:t>
            </w:r>
          </w:p>
        </w:tc>
        <w:tc>
          <w:tcPr>
            <w:tcW w:w="1632" w:type="dxa"/>
            <w:vAlign w:val="top"/>
          </w:tcPr>
          <w:p w:rsidR="002E3202" w:rsidRDefault="00391FE7">
            <w:pPr>
              <w:jc w:val="right"/>
            </w:pPr>
            <w:r>
              <w:t>800.000</w:t>
            </w:r>
          </w:p>
        </w:tc>
        <w:tc>
          <w:tcPr>
            <w:tcW w:w="1632" w:type="dxa"/>
            <w:vAlign w:val="top"/>
          </w:tcPr>
          <w:p w:rsidR="002E3202" w:rsidRDefault="00391FE7">
            <w:pPr>
              <w:jc w:val="right"/>
            </w:pPr>
            <w:r>
              <w:t>2.000.000</w:t>
            </w:r>
          </w:p>
        </w:tc>
        <w:tc>
          <w:tcPr>
            <w:tcW w:w="510" w:type="dxa"/>
            <w:vAlign w:val="top"/>
          </w:tcPr>
          <w:p w:rsidR="002E3202" w:rsidRDefault="00391FE7">
            <w:pPr>
              <w:jc w:val="right"/>
            </w:pPr>
            <w:r>
              <w:t>108,8</w:t>
            </w:r>
          </w:p>
        </w:tc>
      </w:tr>
    </w:tbl>
    <w:p w:rsidR="002E3202" w:rsidRDefault="002E3202">
      <w:pPr>
        <w:jc w:val="left"/>
      </w:pPr>
    </w:p>
    <w:p w:rsidR="002E3202" w:rsidRDefault="00391FE7">
      <w:r>
        <w:t xml:space="preserve">Aktivnost je usmjerena na poticanje brodara u nacionalnoj plovidbi u svrhu modernizacije plovila. Provođenje aktivnosti olakšava  prilagodbu brodara odredbama Tehničkih pravila za statutarnu certifikaciju plovila unutarnje plovidbe i ES-TRIN-a. Modernizacija plovila usmjerena je prema povećanju energetske učinkovitosti plovila, poštujući odredbe zaštite okoliša i prirode, obzirom da se svi međunarodni vodni putovi u Republici Hrvatskoj nalaze u ekološkoj mreži.  </w:t>
      </w:r>
    </w:p>
    <w:p w:rsidR="002E3202" w:rsidRDefault="00391FE7">
      <w:r>
        <w:t xml:space="preserve">U proračunskom razdoblju od 2024. do 2026. godine planira se provedba aktivnosti za subvencioniranje nabave tehničke opreme za zaštitu posade i putnika na plovilima te pogonskih, pomoćnih i upravljačkih uređaja plovila s pripadajućom opremom za ispunjavanje odredbi međunarodnih i nacionalnih propisa. </w:t>
      </w:r>
    </w:p>
    <w:p w:rsidR="002E3202" w:rsidRDefault="00391FE7">
      <w:r>
        <w:t>U narednom trogodišnjem razdoblju planirano je povećanje sredstava u odnosu na prethodna razdoblja i to za poticanje ulaganja u sektoru brodarstva na unutarnjim vodama s ciljem poboljšanja kvalitete usluga koje se pružaju u okviru ovog sektora i prilagodbu plovila budućim tehničkim, ekološkim, energetskim i drugim zahtjevima, a koji se u konačnici odnose na smanjenje utjecaja plovila na okoliš.</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Realizirani zahtjevi za sufinanciranje troškova brodara - godišnje</w:t>
            </w:r>
          </w:p>
        </w:tc>
        <w:tc>
          <w:tcPr>
            <w:tcW w:w="2245" w:type="dxa"/>
            <w:vAlign w:val="top"/>
          </w:tcPr>
          <w:p w:rsidR="002E3202" w:rsidRDefault="00391FE7">
            <w:pPr>
              <w:pStyle w:val="CellColumn"/>
              <w:jc w:val="left"/>
            </w:pPr>
            <w:r>
              <w:rPr>
                <w:rFonts w:cs="Times New Roman"/>
              </w:rPr>
              <w:t>Ulaganjem u modernizaciju plovila značajno se doprinosi održivoj mobilnosti i zaštiti okoliša</w:t>
            </w:r>
          </w:p>
        </w:tc>
        <w:tc>
          <w:tcPr>
            <w:tcW w:w="918" w:type="dxa"/>
          </w:tcPr>
          <w:p w:rsidR="002E3202" w:rsidRDefault="00391FE7">
            <w:pPr>
              <w:jc w:val="center"/>
            </w:pPr>
            <w:r>
              <w:t>broj</w:t>
            </w:r>
          </w:p>
        </w:tc>
        <w:tc>
          <w:tcPr>
            <w:tcW w:w="918" w:type="dxa"/>
          </w:tcPr>
          <w:p w:rsidR="002E3202" w:rsidRDefault="00391FE7">
            <w:pPr>
              <w:jc w:val="center"/>
            </w:pPr>
            <w:r>
              <w:t>5</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5</w:t>
            </w:r>
          </w:p>
        </w:tc>
        <w:tc>
          <w:tcPr>
            <w:tcW w:w="918" w:type="dxa"/>
          </w:tcPr>
          <w:p w:rsidR="002E3202" w:rsidRDefault="00391FE7">
            <w:pPr>
              <w:jc w:val="center"/>
            </w:pPr>
            <w:r>
              <w:t>5</w:t>
            </w:r>
          </w:p>
        </w:tc>
        <w:tc>
          <w:tcPr>
            <w:tcW w:w="918" w:type="dxa"/>
          </w:tcPr>
          <w:p w:rsidR="002E3202" w:rsidRDefault="00391FE7">
            <w:pPr>
              <w:jc w:val="center"/>
            </w:pPr>
            <w:r>
              <w:t>5</w:t>
            </w:r>
          </w:p>
        </w:tc>
      </w:tr>
    </w:tbl>
    <w:p w:rsidR="002E3202" w:rsidRDefault="002E3202">
      <w:pPr>
        <w:jc w:val="left"/>
      </w:pPr>
    </w:p>
    <w:p w:rsidR="002E3202" w:rsidRDefault="00391FE7">
      <w:pPr>
        <w:pStyle w:val="Heading4"/>
      </w:pPr>
      <w:r>
        <w:t>A821014 STIPENDIRANJE REDOVNIH STUDENATA I UČENIKA OBRAZOVNOG USMJERENJA IZ PODRUČJA UNUTARNJE PLOVIDBE, TE VJEŽBENIČKOG STAŽA BRODARACA UNUTARNJE PLOVIDBE</w:t>
      </w:r>
    </w:p>
    <w:p w:rsidR="002E3202" w:rsidRDefault="00391FE7">
      <w:pPr>
        <w:pStyle w:val="Heading8"/>
        <w:jc w:val="left"/>
      </w:pPr>
      <w:r>
        <w:t>Zakonske i druge pravne osnove</w:t>
      </w:r>
    </w:p>
    <w:p w:rsidR="002E3202" w:rsidRDefault="00391FE7">
      <w:r>
        <w:t>- Zakon o plovidbi i lukama unutarnjih voda; članak 2.</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A821014</w:t>
            </w:r>
          </w:p>
        </w:tc>
        <w:tc>
          <w:tcPr>
            <w:tcW w:w="1632" w:type="dxa"/>
            <w:vAlign w:val="top"/>
          </w:tcPr>
          <w:p w:rsidR="002E3202" w:rsidRDefault="00391FE7">
            <w:pPr>
              <w:jc w:val="right"/>
            </w:pPr>
            <w:r>
              <w:t>8.298</w:t>
            </w:r>
          </w:p>
        </w:tc>
        <w:tc>
          <w:tcPr>
            <w:tcW w:w="1632" w:type="dxa"/>
            <w:vAlign w:val="top"/>
          </w:tcPr>
          <w:p w:rsidR="002E3202" w:rsidRDefault="00391FE7">
            <w:pPr>
              <w:jc w:val="right"/>
            </w:pPr>
            <w:r>
              <w:t>10.255</w:t>
            </w:r>
          </w:p>
        </w:tc>
        <w:tc>
          <w:tcPr>
            <w:tcW w:w="1632" w:type="dxa"/>
            <w:vAlign w:val="top"/>
          </w:tcPr>
          <w:p w:rsidR="002E3202" w:rsidRDefault="00391FE7">
            <w:pPr>
              <w:jc w:val="right"/>
            </w:pPr>
            <w:r>
              <w:t>26.600</w:t>
            </w:r>
          </w:p>
        </w:tc>
        <w:tc>
          <w:tcPr>
            <w:tcW w:w="1632" w:type="dxa"/>
            <w:vAlign w:val="top"/>
          </w:tcPr>
          <w:p w:rsidR="002E3202" w:rsidRDefault="00391FE7">
            <w:pPr>
              <w:jc w:val="right"/>
            </w:pPr>
            <w:r>
              <w:t>26.600</w:t>
            </w:r>
          </w:p>
        </w:tc>
        <w:tc>
          <w:tcPr>
            <w:tcW w:w="1632" w:type="dxa"/>
            <w:vAlign w:val="top"/>
          </w:tcPr>
          <w:p w:rsidR="002E3202" w:rsidRDefault="00391FE7">
            <w:pPr>
              <w:jc w:val="right"/>
            </w:pPr>
            <w:r>
              <w:t>26.600</w:t>
            </w:r>
          </w:p>
        </w:tc>
        <w:tc>
          <w:tcPr>
            <w:tcW w:w="510" w:type="dxa"/>
            <w:vAlign w:val="top"/>
          </w:tcPr>
          <w:p w:rsidR="002E3202" w:rsidRDefault="00391FE7">
            <w:pPr>
              <w:jc w:val="right"/>
            </w:pPr>
            <w:r>
              <w:t>259,4</w:t>
            </w:r>
          </w:p>
        </w:tc>
      </w:tr>
    </w:tbl>
    <w:p w:rsidR="002E3202" w:rsidRDefault="002E3202">
      <w:pPr>
        <w:jc w:val="left"/>
      </w:pPr>
    </w:p>
    <w:p w:rsidR="002E3202" w:rsidRDefault="00391FE7">
      <w:r>
        <w:t xml:space="preserve">Aktivnost se provodi kontinuirano svake godine sa ciljem osiguravanja stručnog kadra i održavanjem tradicije stručnog osposobljavanja studenata i učenika obrazovnog usmjerenja vezanog uz područje riječnog prometa.   </w:t>
      </w:r>
    </w:p>
    <w:p w:rsidR="002E3202" w:rsidRDefault="00391FE7">
      <w:r>
        <w:t xml:space="preserve">Za naredno razdoblje planiran je nastavak stipendiranja studenata i učenika obrazovnog usmjerenja iz područja unutarnje plovidbe. Planirana financijska sredstva se temelje na broju stipendija za studente u iznosu raspona od 120 € do 320 € (ovisno o prosječnom uspjehu) i za učenike u iznosu raspona od 120 € do 320 € (ovisno o prosječnom uspjehu), na mjesečnoj bazi (tijekom deset mjeseci). U 2024. godini se planira provesti raspisivanje novog Natječaja za dodjelu stipendija studentima i učenicima koji pohađaju obrazovni program zanimanja iz područja unutarnje plovidbe, čime će se osigurati daljnje poticanje razvoja stručnog kadra u unutarnjoj plovidbi. </w:t>
      </w:r>
    </w:p>
    <w:p w:rsidR="002E3202" w:rsidRDefault="00391FE7">
      <w:r>
        <w:t>Stupanjem na snagu novog Zakona o plovidbi i lukama unutarnjih voda te Pravilnika o posadi plovila, kojima će se omogućiti sufinanciranje vježbeničkog staža za članove posade u međunarodnoj plovidbi, planira se provesti raspisivanje novog natječaja, kako bi se potaknuo ukrcaj studenata i učenika na brodove unutarnje plovidbe i stjecanje plovidbenog staža i viših zvanja u unutarnjoj plovidbi, kako bi se potaknula zainteresiranost za zanimanje koje nedostaje na tržištu rada.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302"/>
        <w:gridCol w:w="936"/>
        <w:gridCol w:w="936"/>
        <w:gridCol w:w="936"/>
        <w:gridCol w:w="936"/>
        <w:gridCol w:w="936"/>
        <w:gridCol w:w="936"/>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ukupno stipendiranih učenika/studenata</w:t>
            </w:r>
          </w:p>
        </w:tc>
        <w:tc>
          <w:tcPr>
            <w:tcW w:w="2245" w:type="dxa"/>
            <w:vAlign w:val="top"/>
          </w:tcPr>
          <w:p w:rsidR="002E3202" w:rsidRDefault="00391FE7">
            <w:pPr>
              <w:pStyle w:val="CellColumn"/>
              <w:jc w:val="left"/>
            </w:pPr>
            <w:r>
              <w:rPr>
                <w:rFonts w:cs="Times New Roman"/>
              </w:rPr>
              <w:t>Edukacijom učenika/studenatapodručju riječnog prometadoprinosi se kvalitetnijemkadru u unutarnjojplovidbi</w:t>
            </w:r>
          </w:p>
        </w:tc>
        <w:tc>
          <w:tcPr>
            <w:tcW w:w="918" w:type="dxa"/>
          </w:tcPr>
          <w:p w:rsidR="002E3202" w:rsidRDefault="00391FE7">
            <w:pPr>
              <w:jc w:val="center"/>
            </w:pPr>
            <w:r>
              <w:t>broj</w:t>
            </w:r>
          </w:p>
        </w:tc>
        <w:tc>
          <w:tcPr>
            <w:tcW w:w="918" w:type="dxa"/>
          </w:tcPr>
          <w:p w:rsidR="002E3202" w:rsidRDefault="00391FE7">
            <w:pPr>
              <w:jc w:val="center"/>
            </w:pPr>
            <w:r>
              <w:t>4</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11</w:t>
            </w:r>
          </w:p>
        </w:tc>
        <w:tc>
          <w:tcPr>
            <w:tcW w:w="918" w:type="dxa"/>
          </w:tcPr>
          <w:p w:rsidR="002E3202" w:rsidRDefault="00391FE7">
            <w:pPr>
              <w:jc w:val="center"/>
            </w:pPr>
            <w:r>
              <w:t>11</w:t>
            </w:r>
          </w:p>
        </w:tc>
        <w:tc>
          <w:tcPr>
            <w:tcW w:w="918" w:type="dxa"/>
          </w:tcPr>
          <w:p w:rsidR="002E3202" w:rsidRDefault="00391FE7">
            <w:pPr>
              <w:jc w:val="center"/>
            </w:pPr>
            <w:r>
              <w:t>11</w:t>
            </w:r>
          </w:p>
        </w:tc>
      </w:tr>
    </w:tbl>
    <w:p w:rsidR="002E3202" w:rsidRDefault="002E3202">
      <w:pPr>
        <w:jc w:val="left"/>
      </w:pPr>
    </w:p>
    <w:p w:rsidR="002E3202" w:rsidRDefault="00391FE7">
      <w:pPr>
        <w:pStyle w:val="Heading4"/>
      </w:pPr>
      <w:r>
        <w:t>K570297 RAD SAVSKE KOMISIJE TE SUDJELOVANJE U RADU MEĐUNARODNIH INSTITUCIJA S PODRUČJA UNUTARNJE PLOVIDBE</w:t>
      </w:r>
    </w:p>
    <w:p w:rsidR="002E3202" w:rsidRDefault="00391FE7">
      <w:pPr>
        <w:pStyle w:val="Heading8"/>
        <w:jc w:val="left"/>
      </w:pPr>
      <w:r>
        <w:t>Zakonske i druge pravne osnove</w:t>
      </w:r>
    </w:p>
    <w:p w:rsidR="002E3202" w:rsidRDefault="00391FE7">
      <w:r>
        <w:t xml:space="preserve">- Europski sporazum o međunarodnom prijevozu opasnih tvari unutarnjim plovnim putovima ADN  </w:t>
      </w:r>
    </w:p>
    <w:p w:rsidR="002E3202" w:rsidRDefault="00391FE7">
      <w:r>
        <w:t xml:space="preserve">- Konvencija o režimu plovidbe na Dunavu, dopunski protokol od 26.03.1998.  </w:t>
      </w:r>
    </w:p>
    <w:p w:rsidR="002E3202" w:rsidRDefault="00391FE7">
      <w:r>
        <w:t xml:space="preserve">- Okvirni sporazum o slivu rijeke Save potpisan 03.12.2002. godine  </w:t>
      </w:r>
    </w:p>
    <w:p w:rsidR="002E3202" w:rsidRDefault="00391FE7">
      <w:r>
        <w:t xml:space="preserve">- Europski ugovor o glavnim unutarnjim plovnim putovima od međunarodnog značaja (AGN)  </w:t>
      </w:r>
    </w:p>
    <w:p w:rsidR="002E3202" w:rsidRDefault="00391FE7">
      <w:r>
        <w:t xml:space="preserve">- Zakon o plovidbi i lukama unutarnjih voda  </w:t>
      </w:r>
    </w:p>
    <w:p w:rsidR="002E3202" w:rsidRDefault="00391FE7">
      <w:r>
        <w:t>- Odluka o povećanju kontribucije 18.12.2018. (temeljem Okvirnog sporazuma o slivu rijeke Save, član 16. st.1(c))</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K570297</w:t>
            </w:r>
          </w:p>
        </w:tc>
        <w:tc>
          <w:tcPr>
            <w:tcW w:w="1632" w:type="dxa"/>
            <w:vAlign w:val="top"/>
          </w:tcPr>
          <w:p w:rsidR="002E3202" w:rsidRDefault="00391FE7">
            <w:pPr>
              <w:jc w:val="right"/>
            </w:pPr>
            <w:r>
              <w:t>161.811</w:t>
            </w:r>
          </w:p>
        </w:tc>
        <w:tc>
          <w:tcPr>
            <w:tcW w:w="1632" w:type="dxa"/>
            <w:vAlign w:val="top"/>
          </w:tcPr>
          <w:p w:rsidR="002E3202" w:rsidRDefault="00391FE7">
            <w:pPr>
              <w:jc w:val="right"/>
            </w:pPr>
            <w:r>
              <w:t>223.297</w:t>
            </w:r>
          </w:p>
        </w:tc>
        <w:tc>
          <w:tcPr>
            <w:tcW w:w="1632" w:type="dxa"/>
            <w:vAlign w:val="top"/>
          </w:tcPr>
          <w:p w:rsidR="002E3202" w:rsidRDefault="00391FE7">
            <w:pPr>
              <w:jc w:val="right"/>
            </w:pPr>
            <w:r>
              <w:t>192.000</w:t>
            </w:r>
          </w:p>
        </w:tc>
        <w:tc>
          <w:tcPr>
            <w:tcW w:w="1632" w:type="dxa"/>
            <w:vAlign w:val="top"/>
          </w:tcPr>
          <w:p w:rsidR="002E3202" w:rsidRDefault="00391FE7">
            <w:pPr>
              <w:jc w:val="right"/>
            </w:pPr>
            <w:r>
              <w:t>192.000</w:t>
            </w:r>
          </w:p>
        </w:tc>
        <w:tc>
          <w:tcPr>
            <w:tcW w:w="1632" w:type="dxa"/>
            <w:vAlign w:val="top"/>
          </w:tcPr>
          <w:p w:rsidR="002E3202" w:rsidRDefault="00391FE7">
            <w:pPr>
              <w:jc w:val="right"/>
            </w:pPr>
            <w:r>
              <w:t>192.000</w:t>
            </w:r>
          </w:p>
        </w:tc>
        <w:tc>
          <w:tcPr>
            <w:tcW w:w="510" w:type="dxa"/>
            <w:vAlign w:val="top"/>
          </w:tcPr>
          <w:p w:rsidR="002E3202" w:rsidRDefault="00391FE7">
            <w:pPr>
              <w:jc w:val="right"/>
            </w:pPr>
            <w:r>
              <w:t>86,0</w:t>
            </w:r>
          </w:p>
        </w:tc>
      </w:tr>
    </w:tbl>
    <w:p w:rsidR="002E3202" w:rsidRDefault="002E3202">
      <w:pPr>
        <w:jc w:val="left"/>
      </w:pPr>
    </w:p>
    <w:p w:rsidR="002E3202" w:rsidRDefault="00391FE7">
      <w:r>
        <w:t xml:space="preserve">Sudjelovanje RH u radu Savske komisije, koja se bavi pitanjem plovidbe i plovnog puta rijeke Save, kao i s ostalim međunarodnim institucijama iz područja unutarnje plovidbe, nužno je s više aspekata. Prilikom valorizacije riječnog prometa, Republika Hrvatska nastoji slijediti koncepciju integralnog pristupa utjecaja transporta na okoliš. Prema “European Water Framework Directive“, vodni putovi postaju dio integriranog plana upravljanja vodama radi očuvanja njihove biološke raznolikosti i ekološke vrijednosti. Okvirni sporazum o slivu rijeke Save, koji je Hrvatska inicirala, i koji je operacionaliziran osnivanjem Međunarodne komisije za upravljanje slivom rijeke Save (Savska komisija), upravo na tim principima uređuje pitanja upravljanja vodnim resursima, korištenja vodnog puta za plovidbu i zaštitu voda.  </w:t>
      </w:r>
    </w:p>
    <w:p w:rsidR="002E3202" w:rsidRDefault="00391FE7">
      <w:r>
        <w:t xml:space="preserve">Program "Međunarodna suradnja unutarnje plovidbe“ u cijelosti se provodi kroz projekt ovaj projekt. Temeljem Okvirnog sporazuma, Republika Hrvatska se obvezala osigurati financijska sredstva za plaćanje najamnine, zakupnine poslovnog prostora za smještaj i nesmetan rad Savske komisije i osiguranje financijskih sredstava za članstvo RH u vidu kontribucije. Sjedište Savske komisije je u Zagrebu.  </w:t>
      </w:r>
    </w:p>
    <w:p w:rsidR="002E3202" w:rsidRDefault="00391FE7">
      <w:r>
        <w:t>Sredstva za provođenje ove aktivnosti planiraju se kontinuirano u svim predstojećim godinama Državnog proračuna RH u ukupnom godišnjem iznosu od 192.000 €. Od navedenog iznosa, 120.000 € se odnosi na zakupninu poslovnog prostora za smještaj Savske komisije, a iznos od 72.000 € na kontribuciju Republike Hrvatske u dijelu ovog Ministarstva.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Sudjelovanje na sjednicama Savske komisije</w:t>
            </w:r>
          </w:p>
        </w:tc>
        <w:tc>
          <w:tcPr>
            <w:tcW w:w="2245" w:type="dxa"/>
            <w:vAlign w:val="top"/>
          </w:tcPr>
          <w:p w:rsidR="002E3202" w:rsidRDefault="00391FE7">
            <w:pPr>
              <w:pStyle w:val="CellColumn"/>
              <w:jc w:val="left"/>
            </w:pPr>
            <w:r>
              <w:rPr>
                <w:rFonts w:cs="Times New Roman"/>
              </w:rPr>
              <w:t xml:space="preserve">Sudjelovanjem na sjednicama Savske komisije Republika Hrvatska aktivno sudjeluje u  donošenju zajedničkih odluka, protokola u dijelu sigurne plovidbe rijekom Savom zajedno sa ostalim zemljama članicama </w:t>
            </w:r>
          </w:p>
          <w:p w:rsidR="002E3202" w:rsidRDefault="00391FE7">
            <w:pPr>
              <w:pStyle w:val="CellColumn"/>
              <w:jc w:val="left"/>
            </w:pPr>
            <w:r>
              <w:rPr>
                <w:rFonts w:cs="Times New Roman"/>
              </w:rPr>
              <w:t>Savske komisije</w:t>
            </w:r>
          </w:p>
        </w:tc>
        <w:tc>
          <w:tcPr>
            <w:tcW w:w="918" w:type="dxa"/>
          </w:tcPr>
          <w:p w:rsidR="002E3202" w:rsidRDefault="00391FE7">
            <w:pPr>
              <w:jc w:val="center"/>
            </w:pPr>
            <w:r>
              <w:t>broj</w:t>
            </w:r>
          </w:p>
        </w:tc>
        <w:tc>
          <w:tcPr>
            <w:tcW w:w="918" w:type="dxa"/>
          </w:tcPr>
          <w:p w:rsidR="002E3202" w:rsidRDefault="00391FE7">
            <w:pPr>
              <w:jc w:val="center"/>
            </w:pPr>
            <w:r>
              <w:t>3</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3</w:t>
            </w:r>
          </w:p>
        </w:tc>
        <w:tc>
          <w:tcPr>
            <w:tcW w:w="918" w:type="dxa"/>
          </w:tcPr>
          <w:p w:rsidR="002E3202" w:rsidRDefault="00391FE7">
            <w:pPr>
              <w:jc w:val="center"/>
            </w:pPr>
            <w:r>
              <w:t>3</w:t>
            </w:r>
          </w:p>
        </w:tc>
        <w:tc>
          <w:tcPr>
            <w:tcW w:w="918" w:type="dxa"/>
          </w:tcPr>
          <w:p w:rsidR="002E3202" w:rsidRDefault="00391FE7">
            <w:pPr>
              <w:jc w:val="center"/>
            </w:pPr>
            <w:r>
              <w:t>3</w:t>
            </w:r>
          </w:p>
        </w:tc>
      </w:tr>
    </w:tbl>
    <w:p w:rsidR="002E3202" w:rsidRDefault="002E3202">
      <w:pPr>
        <w:jc w:val="left"/>
      </w:pPr>
    </w:p>
    <w:p w:rsidR="002E3202" w:rsidRDefault="00391FE7">
      <w:pPr>
        <w:pStyle w:val="Heading4"/>
      </w:pPr>
      <w:r>
        <w:t>K754068 EKO-REKUPA-REVITALIZACIJA RIJEKE KUPE ZA PUTNIČKU I SPORTSKU PLOVIDBU</w:t>
      </w:r>
    </w:p>
    <w:p w:rsidR="002E3202" w:rsidRDefault="00391FE7">
      <w:pPr>
        <w:pStyle w:val="Heading8"/>
        <w:jc w:val="left"/>
      </w:pPr>
      <w:r>
        <w:t>Zakonske i druge pravne osnove</w:t>
      </w:r>
    </w:p>
    <w:p w:rsidR="002E3202" w:rsidRDefault="00391FE7">
      <w:r>
        <w:t>- Zakon o plovidbi i lukama unutarnjih voda</w:t>
      </w:r>
    </w:p>
    <w:tbl>
      <w:tblPr>
        <w:tblStyle w:val="StilTablice"/>
        <w:tblW w:w="10206" w:type="dxa"/>
        <w:jc w:val="center"/>
        <w:tblLook w:val="04A0" w:firstRow="1" w:lastRow="0" w:firstColumn="1" w:lastColumn="0" w:noHBand="0" w:noVBand="1"/>
      </w:tblPr>
      <w:tblGrid>
        <w:gridCol w:w="1469"/>
        <w:gridCol w:w="1557"/>
        <w:gridCol w:w="1549"/>
        <w:gridCol w:w="1549"/>
        <w:gridCol w:w="1549"/>
        <w:gridCol w:w="1563"/>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K754068</w:t>
            </w:r>
          </w:p>
        </w:tc>
        <w:tc>
          <w:tcPr>
            <w:tcW w:w="1632" w:type="dxa"/>
            <w:vAlign w:val="top"/>
          </w:tcPr>
          <w:p w:rsidR="002E3202" w:rsidRDefault="00391FE7">
            <w:pPr>
              <w:jc w:val="right"/>
            </w:pPr>
            <w:r>
              <w:t>119.451</w:t>
            </w:r>
          </w:p>
        </w:tc>
        <w:tc>
          <w:tcPr>
            <w:tcW w:w="1632" w:type="dxa"/>
            <w:vAlign w:val="top"/>
          </w:tcPr>
          <w:p w:rsidR="002E3202" w:rsidRDefault="00391FE7">
            <w:pPr>
              <w:jc w:val="right"/>
            </w:pPr>
            <w:r>
              <w:t>199.084</w:t>
            </w:r>
          </w:p>
        </w:tc>
        <w:tc>
          <w:tcPr>
            <w:tcW w:w="1632" w:type="dxa"/>
            <w:vAlign w:val="top"/>
          </w:tcPr>
          <w:p w:rsidR="002E3202" w:rsidRDefault="00391FE7">
            <w:pPr>
              <w:jc w:val="right"/>
            </w:pPr>
            <w:r>
              <w:t>303.000</w:t>
            </w:r>
          </w:p>
        </w:tc>
        <w:tc>
          <w:tcPr>
            <w:tcW w:w="1632" w:type="dxa"/>
            <w:vAlign w:val="top"/>
          </w:tcPr>
          <w:p w:rsidR="002E3202" w:rsidRDefault="00391FE7">
            <w:pPr>
              <w:jc w:val="right"/>
            </w:pPr>
            <w:r>
              <w:t>332.000</w:t>
            </w:r>
          </w:p>
        </w:tc>
        <w:tc>
          <w:tcPr>
            <w:tcW w:w="1632" w:type="dxa"/>
            <w:vAlign w:val="top"/>
          </w:tcPr>
          <w:p w:rsidR="002E3202" w:rsidRDefault="00391FE7">
            <w:pPr>
              <w:jc w:val="right"/>
            </w:pPr>
            <w:r>
              <w:t>5.000.000</w:t>
            </w:r>
          </w:p>
        </w:tc>
        <w:tc>
          <w:tcPr>
            <w:tcW w:w="510" w:type="dxa"/>
            <w:vAlign w:val="top"/>
          </w:tcPr>
          <w:p w:rsidR="002E3202" w:rsidRDefault="00391FE7">
            <w:pPr>
              <w:jc w:val="right"/>
            </w:pPr>
            <w:r>
              <w:t>152,2</w:t>
            </w:r>
          </w:p>
        </w:tc>
      </w:tr>
    </w:tbl>
    <w:p w:rsidR="002E3202" w:rsidRDefault="002E3202">
      <w:pPr>
        <w:jc w:val="left"/>
      </w:pPr>
    </w:p>
    <w:p w:rsidR="002E3202" w:rsidRDefault="00391FE7">
      <w:r>
        <w:t xml:space="preserve">Tijekom 2019. godine je izrađena Studija predizvodljivosti EKO – revitalizacije rijeke Kupe za putničku i sportsku plovidbu s razvojem prateće infrastrukture. Predmetnom studijom, odabrano je najprihvatljivije rješenje za revitalizaciju rijeke Kupe i prateće infrastrukture. Studija je pokazala kako dionica od Sredičkog do Karlovca ima najviše predloženih lokacija za izgradnju manjih pristaništa, tj. najveću potrebu za definiranjem plovnog puta u svrhu sigurnosti plovidbe manjim plovilima. Nastavno na izrađenu Studiju predizvodljivosti, tijekom 2022/2023, izrađeno je Koncepcijsko rješenje infrastrukturnog uređenja plovnog puta rijeke Kupe i Elaborat zaštite okoliša te je ishođeno mišljenje Ministarstva gospodarstva i održivog razvoja o potrebi izrade Studije utjecaja na okoliš i Glavne ocjene prihvatljivosti.  </w:t>
      </w:r>
    </w:p>
    <w:p w:rsidR="002E3202" w:rsidRDefault="00391FE7">
      <w:r>
        <w:t>U 2024. godini predviđen je nastavak projekta kroz II fazu, koja obuhvaća izradu Studije utjecaja na okoliš i Glavne ocjene prihvatljivosti, Idejnog projekta i Glavnog projekta. Svrha provedbe projekta je razvoj unutarnjih plovnih puteva i turizma uz revitalizacija područja oko rijeke Kupe, koja vodi ka razvoju regija uz unutarnje plovne putove.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Izrađena projektna dokumentacija (Koncepcijsko rješenje, Idejni i Glavni projekt)</w:t>
            </w:r>
          </w:p>
        </w:tc>
        <w:tc>
          <w:tcPr>
            <w:tcW w:w="2245" w:type="dxa"/>
            <w:vAlign w:val="top"/>
          </w:tcPr>
          <w:p w:rsidR="002E3202" w:rsidRDefault="00391FE7">
            <w:pPr>
              <w:pStyle w:val="CellColumn"/>
              <w:jc w:val="left"/>
            </w:pPr>
            <w:r>
              <w:rPr>
                <w:rFonts w:cs="Times New Roman"/>
              </w:rPr>
              <w:t>Izradom Koncepcijskog rješenja najvažnije dionice rijeke Kupe (Sredičko-Karlovac) za razvoj manjih pristaništa, uključujući i projektnu dokumentaciju za odabrane lokacije pristaništa, započet će revitalizacija područja oko rijeke Kupe i unapređenje plovnog puta uz prateću infrastrukturu.</w:t>
            </w:r>
          </w:p>
        </w:tc>
        <w:tc>
          <w:tcPr>
            <w:tcW w:w="918" w:type="dxa"/>
          </w:tcPr>
          <w:p w:rsidR="002E3202" w:rsidRDefault="00391FE7">
            <w:pPr>
              <w:jc w:val="center"/>
            </w:pPr>
            <w:r>
              <w:t>broj</w:t>
            </w:r>
          </w:p>
        </w:tc>
        <w:tc>
          <w:tcPr>
            <w:tcW w:w="918" w:type="dxa"/>
          </w:tcPr>
          <w:p w:rsidR="002E3202" w:rsidRDefault="00391FE7">
            <w:pPr>
              <w:jc w:val="center"/>
            </w:pPr>
            <w:r>
              <w:t>1</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0</w:t>
            </w:r>
          </w:p>
        </w:tc>
        <w:tc>
          <w:tcPr>
            <w:tcW w:w="918" w:type="dxa"/>
          </w:tcPr>
          <w:p w:rsidR="002E3202" w:rsidRDefault="00391FE7">
            <w:pPr>
              <w:jc w:val="center"/>
            </w:pPr>
            <w:r>
              <w:t>1</w:t>
            </w:r>
          </w:p>
        </w:tc>
        <w:tc>
          <w:tcPr>
            <w:tcW w:w="918" w:type="dxa"/>
          </w:tcPr>
          <w:p w:rsidR="002E3202" w:rsidRDefault="00391FE7">
            <w:pPr>
              <w:jc w:val="center"/>
            </w:pPr>
            <w:r>
              <w:t>1</w:t>
            </w:r>
          </w:p>
        </w:tc>
      </w:tr>
    </w:tbl>
    <w:p w:rsidR="002E3202" w:rsidRDefault="002E3202">
      <w:pPr>
        <w:jc w:val="left"/>
      </w:pPr>
    </w:p>
    <w:p w:rsidR="002E3202" w:rsidRDefault="00391FE7">
      <w:pPr>
        <w:pStyle w:val="Heading4"/>
      </w:pPr>
      <w:r>
        <w:t>K810001 GRADNJA I TEHNIČKO ODRŽAVANJE PLOVNIH PUTOVA UNUTARNJIH VODA</w:t>
      </w:r>
    </w:p>
    <w:p w:rsidR="002E3202" w:rsidRDefault="00391FE7">
      <w:pPr>
        <w:pStyle w:val="Heading8"/>
        <w:jc w:val="left"/>
      </w:pPr>
      <w:r>
        <w:t>Zakonske i druge pravne osnove</w:t>
      </w:r>
    </w:p>
    <w:p w:rsidR="002E3202" w:rsidRDefault="00391FE7">
      <w:r>
        <w:t xml:space="preserve">- Zakon o plovidbi i lukama unutarnjih voda; članak 145., stavak 3. </w:t>
      </w:r>
    </w:p>
    <w:p w:rsidR="002E3202" w:rsidRDefault="00391FE7">
      <w:r>
        <w:t>- Pravilnik o tehničkom održavanju vodnih putova; članak 3.</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K810001</w:t>
            </w:r>
          </w:p>
        </w:tc>
        <w:tc>
          <w:tcPr>
            <w:tcW w:w="1632" w:type="dxa"/>
            <w:vAlign w:val="top"/>
          </w:tcPr>
          <w:p w:rsidR="002E3202" w:rsidRDefault="00391FE7">
            <w:pPr>
              <w:jc w:val="right"/>
            </w:pPr>
            <w:r>
              <w:t>1.550.898</w:t>
            </w:r>
          </w:p>
        </w:tc>
        <w:tc>
          <w:tcPr>
            <w:tcW w:w="1632" w:type="dxa"/>
            <w:vAlign w:val="top"/>
          </w:tcPr>
          <w:p w:rsidR="002E3202" w:rsidRDefault="00391FE7">
            <w:pPr>
              <w:jc w:val="right"/>
            </w:pPr>
            <w:r>
              <w:t>2.539.359</w:t>
            </w:r>
          </w:p>
        </w:tc>
        <w:tc>
          <w:tcPr>
            <w:tcW w:w="1632" w:type="dxa"/>
            <w:vAlign w:val="top"/>
          </w:tcPr>
          <w:p w:rsidR="002E3202" w:rsidRDefault="00391FE7">
            <w:pPr>
              <w:jc w:val="right"/>
            </w:pPr>
            <w:r>
              <w:t>5.136.102</w:t>
            </w:r>
          </w:p>
        </w:tc>
        <w:tc>
          <w:tcPr>
            <w:tcW w:w="1632" w:type="dxa"/>
            <w:vAlign w:val="top"/>
          </w:tcPr>
          <w:p w:rsidR="002E3202" w:rsidRDefault="00391FE7">
            <w:pPr>
              <w:jc w:val="right"/>
            </w:pPr>
            <w:r>
              <w:t>5.567.000</w:t>
            </w:r>
          </w:p>
        </w:tc>
        <w:tc>
          <w:tcPr>
            <w:tcW w:w="1632" w:type="dxa"/>
            <w:vAlign w:val="top"/>
          </w:tcPr>
          <w:p w:rsidR="002E3202" w:rsidRDefault="00391FE7">
            <w:pPr>
              <w:jc w:val="right"/>
            </w:pPr>
            <w:r>
              <w:t>5.783.000</w:t>
            </w:r>
          </w:p>
        </w:tc>
        <w:tc>
          <w:tcPr>
            <w:tcW w:w="510" w:type="dxa"/>
            <w:vAlign w:val="top"/>
          </w:tcPr>
          <w:p w:rsidR="002E3202" w:rsidRDefault="00391FE7">
            <w:pPr>
              <w:jc w:val="right"/>
            </w:pPr>
            <w:r>
              <w:t>202,3</w:t>
            </w:r>
          </w:p>
        </w:tc>
      </w:tr>
    </w:tbl>
    <w:p w:rsidR="002E3202" w:rsidRDefault="002E3202">
      <w:pPr>
        <w:jc w:val="left"/>
      </w:pPr>
    </w:p>
    <w:p w:rsidR="002E3202" w:rsidRDefault="00391FE7">
      <w:r>
        <w:t xml:space="preserve">Ovaj projekt obuhvaća gradnju, tehničko unapređenje i prometno-tehnološku modernizaciju vodnih putova. U sklopu projekta, uz gradnju infrastrukturnih objekata u vodnom putu, planiraju se i radovi tehničkog održavanja vodnog puta, održavanje objekata sigurnosti plovidbe i obilježavanje plovnih putova u svrhu održavanja sigurnost plovidbe. Preduvjet sigurne plovidbe, uz gradnju i tehničko održavanje vodnih putova, je i redovna ophodnja te snimanje vodnih putova. Svi ovi radovi su po svojoj osnovi specifični, često nepredvidljivi i njihov opseg ovisi o klimatskim i hidrološkim prilikama u vodnom tijelu.    </w:t>
      </w:r>
    </w:p>
    <w:p w:rsidR="002E3202" w:rsidRDefault="00391FE7">
      <w:r>
        <w:t>Planirani radovi u navedenom razdoblju uključuju radove tehničkog održavanja kritičnih dionica na rijeci Savi, radove redovnog tehničkog održavanja kinete plovnog puta Dunava, Drave i Save, usluge popravaka postavljenih plovnih i obalnih oznaka, izrade novih plovnih i obalnih oznaka, te radove obilježavanja plovnih putova. Projekt uključuje i izradu podloga (elaborata studija i projekta) u svrhu monitoringa stanja plovnih putova, praćenja stanja ekološke mreže i morfoloških promjena u vodnom tijelu.</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rkm vodnih putova uređenih na deklariranu klasu plovnosti</w:t>
            </w:r>
          </w:p>
        </w:tc>
        <w:tc>
          <w:tcPr>
            <w:tcW w:w="2245" w:type="dxa"/>
            <w:vAlign w:val="top"/>
          </w:tcPr>
          <w:p w:rsidR="002E3202" w:rsidRDefault="00391FE7">
            <w:pPr>
              <w:pStyle w:val="CellColumn"/>
              <w:jc w:val="left"/>
            </w:pPr>
            <w:r>
              <w:rPr>
                <w:rFonts w:cs="Times New Roman"/>
              </w:rPr>
              <w:t>Vodni putovi uređeni na deklariranu klasu plovnosti su vodni putovi koji udovoljavaju svim parametrima definiranim međunarodnim ili nacionalnim propisima ovisno o vrsti vodnog puta (međunarodni ili nacionalni)</w:t>
            </w:r>
          </w:p>
        </w:tc>
        <w:tc>
          <w:tcPr>
            <w:tcW w:w="918" w:type="dxa"/>
          </w:tcPr>
          <w:p w:rsidR="002E3202" w:rsidRDefault="00391FE7">
            <w:pPr>
              <w:jc w:val="center"/>
            </w:pPr>
            <w:r>
              <w:t>rkm</w:t>
            </w:r>
          </w:p>
        </w:tc>
        <w:tc>
          <w:tcPr>
            <w:tcW w:w="918" w:type="dxa"/>
          </w:tcPr>
          <w:p w:rsidR="002E3202" w:rsidRDefault="00391FE7">
            <w:pPr>
              <w:jc w:val="center"/>
            </w:pPr>
            <w:r>
              <w:t>474</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474</w:t>
            </w:r>
          </w:p>
        </w:tc>
        <w:tc>
          <w:tcPr>
            <w:tcW w:w="918" w:type="dxa"/>
          </w:tcPr>
          <w:p w:rsidR="002E3202" w:rsidRDefault="00391FE7">
            <w:pPr>
              <w:jc w:val="center"/>
            </w:pPr>
            <w:r>
              <w:t>474</w:t>
            </w:r>
          </w:p>
        </w:tc>
        <w:tc>
          <w:tcPr>
            <w:tcW w:w="918" w:type="dxa"/>
          </w:tcPr>
          <w:p w:rsidR="002E3202" w:rsidRDefault="00391FE7">
            <w:pPr>
              <w:jc w:val="center"/>
            </w:pPr>
            <w:r>
              <w:t>482</w:t>
            </w:r>
          </w:p>
        </w:tc>
      </w:tr>
    </w:tbl>
    <w:p w:rsidR="002E3202" w:rsidRDefault="002E3202">
      <w:pPr>
        <w:jc w:val="left"/>
      </w:pPr>
    </w:p>
    <w:p w:rsidR="002E3202" w:rsidRDefault="00391FE7">
      <w:pPr>
        <w:pStyle w:val="Heading4"/>
      </w:pPr>
      <w:r>
        <w:t>K810006 IZGRADNJA VIŠENAMJENSKOG KANALA DUNAV-SAVA</w:t>
      </w:r>
    </w:p>
    <w:p w:rsidR="002E3202" w:rsidRDefault="00391FE7">
      <w:pPr>
        <w:pStyle w:val="Heading8"/>
        <w:jc w:val="left"/>
      </w:pPr>
      <w:r>
        <w:t>Zakonske i druge pravne osnove</w:t>
      </w:r>
    </w:p>
    <w:p w:rsidR="002E3202" w:rsidRDefault="00391FE7">
      <w:r>
        <w:t xml:space="preserve">- Zakon o plovidbi i lukama unutarnjih voda; članak 145., stavak 3.  </w:t>
      </w:r>
    </w:p>
    <w:p w:rsidR="002E3202" w:rsidRDefault="00391FE7">
      <w:r>
        <w:t>- Ugovor o glavnim unutarnjim plovnim putovima od međunarodnog značenja potpisan u Helskinkiju 24. lipnja 1997. godine, Hrvatski Sabor potvrdio je Ugovor 12. studenog 1998. godine, članak 2 i Aneks III.</w:t>
      </w:r>
    </w:p>
    <w:tbl>
      <w:tblPr>
        <w:tblStyle w:val="StilTablice"/>
        <w:tblW w:w="10206" w:type="dxa"/>
        <w:jc w:val="center"/>
        <w:tblLook w:val="04A0" w:firstRow="1" w:lastRow="0" w:firstColumn="1" w:lastColumn="0" w:noHBand="0" w:noVBand="1"/>
      </w:tblPr>
      <w:tblGrid>
        <w:gridCol w:w="1472"/>
        <w:gridCol w:w="1560"/>
        <w:gridCol w:w="1534"/>
        <w:gridCol w:w="1552"/>
        <w:gridCol w:w="1552"/>
        <w:gridCol w:w="1566"/>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K810006</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1632" w:type="dxa"/>
            <w:vAlign w:val="top"/>
          </w:tcPr>
          <w:p w:rsidR="002E3202" w:rsidRDefault="00391FE7">
            <w:pPr>
              <w:jc w:val="right"/>
            </w:pPr>
            <w:r>
              <w:t>107.000</w:t>
            </w:r>
          </w:p>
        </w:tc>
        <w:tc>
          <w:tcPr>
            <w:tcW w:w="1632" w:type="dxa"/>
            <w:vAlign w:val="top"/>
          </w:tcPr>
          <w:p w:rsidR="002E3202" w:rsidRDefault="00391FE7">
            <w:pPr>
              <w:jc w:val="right"/>
            </w:pPr>
            <w:r>
              <w:t>430.000</w:t>
            </w:r>
          </w:p>
        </w:tc>
        <w:tc>
          <w:tcPr>
            <w:tcW w:w="1632" w:type="dxa"/>
            <w:vAlign w:val="top"/>
          </w:tcPr>
          <w:p w:rsidR="002E3202" w:rsidRDefault="00391FE7">
            <w:pPr>
              <w:jc w:val="right"/>
            </w:pPr>
            <w:r>
              <w:t>1.000.000</w:t>
            </w:r>
          </w:p>
        </w:tc>
        <w:tc>
          <w:tcPr>
            <w:tcW w:w="510" w:type="dxa"/>
            <w:vAlign w:val="top"/>
          </w:tcPr>
          <w:p w:rsidR="002E3202" w:rsidRDefault="00391FE7">
            <w:pPr>
              <w:jc w:val="right"/>
            </w:pPr>
            <w:r>
              <w:t>0,0</w:t>
            </w:r>
          </w:p>
        </w:tc>
      </w:tr>
    </w:tbl>
    <w:p w:rsidR="002E3202" w:rsidRDefault="002E3202">
      <w:pPr>
        <w:jc w:val="left"/>
      </w:pPr>
    </w:p>
    <w:p w:rsidR="002E3202" w:rsidRDefault="00391FE7">
      <w:r>
        <w:t>Planirana sredstva predviđena su za izradu studijsko projektne dokumentacije, koja će biti definirana nakon sastanaka sa savjetodavnom službom ispred Europske komisije, Europske investicijske banke i Europske banke za obnovu i razvoj (JASPERS). Osim navedenog, ovom aktivnošću planiran je nastavak monitoringa šumskih ekosustava na području lokacije budućeg VKDS-a, a čija je obveza proizašla iz Rješenja o usvajanju Studije o utjecaju na okoliš predmetnog kanala.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Stupanj izrade studijsko projekte dokumentacije definirane Studije opravdanosti</w:t>
            </w:r>
          </w:p>
        </w:tc>
        <w:tc>
          <w:tcPr>
            <w:tcW w:w="2245" w:type="dxa"/>
            <w:vAlign w:val="top"/>
          </w:tcPr>
          <w:p w:rsidR="002E3202" w:rsidRDefault="00391FE7">
            <w:pPr>
              <w:pStyle w:val="CellColumn"/>
              <w:jc w:val="left"/>
            </w:pPr>
            <w:r>
              <w:rPr>
                <w:rFonts w:cs="Times New Roman"/>
              </w:rPr>
              <w:t>Izradom studije opravdanosti  VKDS-a odredit će se studijsko projektna dokumentacija koja će biti potrebna za ishođenje svih dozvola prije početka radova na izgradnji VKDS-</w:t>
            </w:r>
          </w:p>
        </w:tc>
        <w:tc>
          <w:tcPr>
            <w:tcW w:w="918" w:type="dxa"/>
          </w:tcPr>
          <w:p w:rsidR="002E3202" w:rsidRDefault="00391FE7">
            <w:pPr>
              <w:jc w:val="center"/>
            </w:pPr>
            <w:r>
              <w:t>%</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0</w:t>
            </w:r>
          </w:p>
        </w:tc>
        <w:tc>
          <w:tcPr>
            <w:tcW w:w="918" w:type="dxa"/>
          </w:tcPr>
          <w:p w:rsidR="002E3202" w:rsidRDefault="00391FE7">
            <w:pPr>
              <w:jc w:val="center"/>
            </w:pPr>
            <w:r>
              <w:t>10</w:t>
            </w:r>
          </w:p>
        </w:tc>
        <w:tc>
          <w:tcPr>
            <w:tcW w:w="918" w:type="dxa"/>
          </w:tcPr>
          <w:p w:rsidR="002E3202" w:rsidRDefault="00391FE7">
            <w:pPr>
              <w:jc w:val="center"/>
            </w:pPr>
            <w:r>
              <w:t>20</w:t>
            </w:r>
          </w:p>
        </w:tc>
      </w:tr>
    </w:tbl>
    <w:p w:rsidR="002E3202" w:rsidRDefault="002E3202">
      <w:pPr>
        <w:jc w:val="left"/>
      </w:pPr>
    </w:p>
    <w:p w:rsidR="002E3202" w:rsidRDefault="00391FE7">
      <w:pPr>
        <w:pStyle w:val="Heading4"/>
      </w:pPr>
      <w:r>
        <w:t>K810024 IZGRADNJA PLOVILA I PLOVNIH OBJEKATA U RIJEČNOJ PLOVIDBI</w:t>
      </w:r>
    </w:p>
    <w:p w:rsidR="002E3202" w:rsidRDefault="00391FE7">
      <w:pPr>
        <w:pStyle w:val="Heading8"/>
        <w:jc w:val="left"/>
      </w:pPr>
      <w:r>
        <w:t>Zakonske i druge pravne osnove</w:t>
      </w:r>
    </w:p>
    <w:p w:rsidR="002E3202" w:rsidRDefault="00391FE7">
      <w:r>
        <w:t xml:space="preserve">- Zakon o plovidbi i lukama unutarnjih voda; članak 145, stavak 3.  </w:t>
      </w:r>
    </w:p>
    <w:p w:rsidR="002E3202" w:rsidRDefault="00391FE7">
      <w:r>
        <w:t>- Uredba o tehničko-tehnološkim uvjetima za luke i uvjetima sigurnosti plovidbe u lukama i pristaništima unutarnjih voda</w:t>
      </w:r>
    </w:p>
    <w:tbl>
      <w:tblPr>
        <w:tblStyle w:val="StilTablice"/>
        <w:tblW w:w="10206" w:type="dxa"/>
        <w:jc w:val="center"/>
        <w:tblLook w:val="04A0" w:firstRow="1" w:lastRow="0" w:firstColumn="1" w:lastColumn="0" w:noHBand="0" w:noVBand="1"/>
      </w:tblPr>
      <w:tblGrid>
        <w:gridCol w:w="1476"/>
        <w:gridCol w:w="1565"/>
        <w:gridCol w:w="1540"/>
        <w:gridCol w:w="1557"/>
        <w:gridCol w:w="1549"/>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K810024</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1632" w:type="dxa"/>
            <w:vAlign w:val="top"/>
          </w:tcPr>
          <w:p w:rsidR="002E3202" w:rsidRDefault="00391FE7">
            <w:pPr>
              <w:jc w:val="right"/>
            </w:pPr>
            <w:r>
              <w:t>100.000</w:t>
            </w:r>
          </w:p>
        </w:tc>
        <w:tc>
          <w:tcPr>
            <w:tcW w:w="1632" w:type="dxa"/>
            <w:vAlign w:val="top"/>
          </w:tcPr>
          <w:p w:rsidR="002E3202" w:rsidRDefault="00391FE7">
            <w:pPr>
              <w:jc w:val="right"/>
            </w:pPr>
            <w:r>
              <w:t>40.000</w:t>
            </w:r>
          </w:p>
        </w:tc>
        <w:tc>
          <w:tcPr>
            <w:tcW w:w="1632" w:type="dxa"/>
            <w:vAlign w:val="top"/>
          </w:tcPr>
          <w:p w:rsidR="002E3202" w:rsidRDefault="00391FE7">
            <w:pPr>
              <w:jc w:val="right"/>
            </w:pPr>
            <w:r>
              <w:t>40.000</w:t>
            </w:r>
          </w:p>
        </w:tc>
        <w:tc>
          <w:tcPr>
            <w:tcW w:w="510" w:type="dxa"/>
            <w:vAlign w:val="top"/>
          </w:tcPr>
          <w:p w:rsidR="002E3202" w:rsidRDefault="00391FE7">
            <w:pPr>
              <w:jc w:val="right"/>
            </w:pPr>
            <w:r>
              <w:t>0,0</w:t>
            </w:r>
          </w:p>
        </w:tc>
      </w:tr>
    </w:tbl>
    <w:p w:rsidR="002E3202" w:rsidRDefault="002E3202">
      <w:pPr>
        <w:jc w:val="left"/>
      </w:pPr>
    </w:p>
    <w:p w:rsidR="002E3202" w:rsidRDefault="00391FE7">
      <w:r>
        <w:t xml:space="preserve">Ovim projektom nastavljaju se aktivnosti u svrhu postavljanja pristana za plovila Ministarstva mora, prometa i infrastrukture iz nadležnosti unutarnje plovidbe. </w:t>
      </w:r>
    </w:p>
    <w:p w:rsidR="002E3202" w:rsidRDefault="00391FE7">
      <w:r>
        <w:t xml:space="preserve">Na rijeci Savi postoji potreba za izgradnjom pristana/plovnih objekata na širem području grada Siska i Slavonskog Broda, za što je potrebno izraditi projektno tehničku dokumentaciju kako bi se moglo započeti s izgradnjom istih. </w:t>
      </w:r>
    </w:p>
    <w:p w:rsidR="002E3202" w:rsidRDefault="00391FE7">
      <w:r>
        <w:t>Na rijeci Dunav također postoji potreba za izgradnjom pristana/plovnog objekta na lokaciji Vukovar, kod Nove marine. Uvjeti za realizaciju projekta će se stvoriti nakon izgradnje zaštitno vodne građevine, koja je u nadležnosti Hrvatskih voda. Na planirani ponton se planiraju izmjestiti sva plovila Ministarstva mora, prometa i infrastrukture koja se nalaze u lučici kraj Otoka sportova u Vukovaru. U svrhu izgradnje ovog pristana potrebno je izraditi projektno tehničku dokumentaciju.</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izgrađenih plovnih objekata</w:t>
            </w:r>
          </w:p>
        </w:tc>
        <w:tc>
          <w:tcPr>
            <w:tcW w:w="2245" w:type="dxa"/>
            <w:vAlign w:val="top"/>
          </w:tcPr>
          <w:p w:rsidR="002E3202" w:rsidRDefault="00391FE7">
            <w:pPr>
              <w:pStyle w:val="CellColumn"/>
              <w:jc w:val="left"/>
            </w:pPr>
            <w:r>
              <w:rPr>
                <w:rFonts w:cs="Times New Roman"/>
              </w:rPr>
              <w:t>Izgradnja pristana je osnovna infrastrukuta za privez službenih plovila Ministarstva moraprometa i infrastrukture iz nadležnosti unutarnje plovidbe</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 i Lučke uprave unutarnjih voda</w:t>
            </w:r>
          </w:p>
        </w:tc>
        <w:tc>
          <w:tcPr>
            <w:tcW w:w="918" w:type="dxa"/>
          </w:tcPr>
          <w:p w:rsidR="002E3202" w:rsidRDefault="00391FE7">
            <w:pPr>
              <w:jc w:val="center"/>
            </w:pPr>
            <w:r>
              <w:t>0</w:t>
            </w:r>
          </w:p>
        </w:tc>
        <w:tc>
          <w:tcPr>
            <w:tcW w:w="918" w:type="dxa"/>
          </w:tcPr>
          <w:p w:rsidR="002E3202" w:rsidRDefault="00391FE7">
            <w:pPr>
              <w:jc w:val="center"/>
            </w:pPr>
            <w:r>
              <w:t>1</w:t>
            </w:r>
          </w:p>
        </w:tc>
        <w:tc>
          <w:tcPr>
            <w:tcW w:w="918" w:type="dxa"/>
          </w:tcPr>
          <w:p w:rsidR="002E3202" w:rsidRDefault="00391FE7">
            <w:pPr>
              <w:jc w:val="center"/>
            </w:pPr>
            <w:r>
              <w:t>1</w:t>
            </w:r>
          </w:p>
        </w:tc>
      </w:tr>
    </w:tbl>
    <w:p w:rsidR="002E3202" w:rsidRDefault="002E3202">
      <w:pPr>
        <w:jc w:val="left"/>
      </w:pPr>
    </w:p>
    <w:p w:rsidR="002E3202" w:rsidRDefault="00391FE7">
      <w:pPr>
        <w:pStyle w:val="Heading3"/>
      </w:pPr>
      <w:r>
        <w:rPr>
          <w:rFonts w:cs="Times New Roman"/>
        </w:rPr>
        <w:t>3116 RAZVOJ SUSTAVA POMORSKOG PROMETA, POMORSKOG DOBRA I LUKA, TE ZAŠTITA OKOLIŠA OD ONEČIŠĆENJA S POMORSKIH OBJEKATA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3116</w:t>
            </w:r>
          </w:p>
        </w:tc>
        <w:tc>
          <w:tcPr>
            <w:tcW w:w="1632" w:type="dxa"/>
          </w:tcPr>
          <w:p w:rsidR="002E3202" w:rsidRDefault="00391FE7">
            <w:pPr>
              <w:jc w:val="right"/>
            </w:pPr>
            <w:r>
              <w:t>16.013.519</w:t>
            </w:r>
          </w:p>
        </w:tc>
        <w:tc>
          <w:tcPr>
            <w:tcW w:w="1632" w:type="dxa"/>
          </w:tcPr>
          <w:p w:rsidR="002E3202" w:rsidRDefault="00391FE7">
            <w:pPr>
              <w:jc w:val="right"/>
            </w:pPr>
            <w:r>
              <w:t>20.836.267</w:t>
            </w:r>
          </w:p>
        </w:tc>
        <w:tc>
          <w:tcPr>
            <w:tcW w:w="1632" w:type="dxa"/>
          </w:tcPr>
          <w:p w:rsidR="002E3202" w:rsidRDefault="00391FE7">
            <w:pPr>
              <w:jc w:val="right"/>
            </w:pPr>
            <w:r>
              <w:t>13.625.934</w:t>
            </w:r>
          </w:p>
        </w:tc>
        <w:tc>
          <w:tcPr>
            <w:tcW w:w="1632" w:type="dxa"/>
          </w:tcPr>
          <w:p w:rsidR="002E3202" w:rsidRDefault="00391FE7">
            <w:pPr>
              <w:jc w:val="right"/>
            </w:pPr>
            <w:r>
              <w:t>13.625.934</w:t>
            </w:r>
          </w:p>
        </w:tc>
        <w:tc>
          <w:tcPr>
            <w:tcW w:w="1632" w:type="dxa"/>
          </w:tcPr>
          <w:p w:rsidR="002E3202" w:rsidRDefault="00391FE7">
            <w:pPr>
              <w:jc w:val="right"/>
            </w:pPr>
            <w:r>
              <w:t>13.625.934</w:t>
            </w:r>
          </w:p>
        </w:tc>
        <w:tc>
          <w:tcPr>
            <w:tcW w:w="510" w:type="dxa"/>
          </w:tcPr>
          <w:p w:rsidR="002E3202" w:rsidRDefault="00391FE7">
            <w:pPr>
              <w:jc w:val="right"/>
            </w:pPr>
            <w:r>
              <w:t>65,4</w:t>
            </w:r>
          </w:p>
        </w:tc>
      </w:tr>
    </w:tbl>
    <w:p w:rsidR="002E3202" w:rsidRDefault="002E3202">
      <w:pPr>
        <w:jc w:val="left"/>
      </w:pPr>
    </w:p>
    <w:p w:rsidR="002E3202" w:rsidRDefault="00391FE7">
      <w:pPr>
        <w:pStyle w:val="Heading8"/>
        <w:jc w:val="left"/>
      </w:pPr>
      <w:r>
        <w:t>Cilj 1. Unaprijediti sustav pomorskog prometa te učinkovito i sustavno upravljati pomorskim dobrom</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154"/>
        <w:gridCol w:w="2176"/>
        <w:gridCol w:w="908"/>
        <w:gridCol w:w="1014"/>
        <w:gridCol w:w="912"/>
        <w:gridCol w:w="1014"/>
        <w:gridCol w:w="1014"/>
        <w:gridCol w:w="1014"/>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Povećan promet tereta u morskim lukama Republike Hrvatske</w:t>
            </w:r>
          </w:p>
        </w:tc>
        <w:tc>
          <w:tcPr>
            <w:tcW w:w="2245" w:type="dxa"/>
            <w:vAlign w:val="top"/>
          </w:tcPr>
          <w:p w:rsidR="002E3202" w:rsidRDefault="00391FE7">
            <w:pPr>
              <w:pStyle w:val="CellColumn"/>
              <w:jc w:val="left"/>
            </w:pPr>
            <w:r>
              <w:rPr>
                <w:rFonts w:cs="Times New Roman"/>
              </w:rPr>
              <w:t xml:space="preserve">Radovima izgradnje lučke infrastrukture, osiguranja lučkog područja, gospodarske zone i plovnih putova povećat će se količina pomorskog prometa i privlačenje korisnika što će rezultirati povećanjem prekrcanog tereta u lukama  </w:t>
            </w:r>
          </w:p>
          <w:p w:rsidR="002E3202" w:rsidRDefault="00391FE7">
            <w:pPr>
              <w:pStyle w:val="CellColumn"/>
              <w:jc w:val="left"/>
            </w:pPr>
            <w:r>
              <w:rPr>
                <w:rFonts w:cs="Times New Roman"/>
              </w:rPr>
              <w:t>(godišnja vrijednost)</w:t>
            </w:r>
          </w:p>
        </w:tc>
        <w:tc>
          <w:tcPr>
            <w:tcW w:w="918" w:type="dxa"/>
          </w:tcPr>
          <w:p w:rsidR="002E3202" w:rsidRDefault="00391FE7">
            <w:pPr>
              <w:jc w:val="center"/>
            </w:pPr>
            <w:r>
              <w:t>tona</w:t>
            </w:r>
          </w:p>
        </w:tc>
        <w:tc>
          <w:tcPr>
            <w:tcW w:w="918" w:type="dxa"/>
          </w:tcPr>
          <w:p w:rsidR="002E3202" w:rsidRDefault="00391FE7">
            <w:pPr>
              <w:jc w:val="center"/>
            </w:pPr>
            <w:r>
              <w:t>21.700.000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21.850.000</w:t>
            </w:r>
          </w:p>
        </w:tc>
        <w:tc>
          <w:tcPr>
            <w:tcW w:w="918" w:type="dxa"/>
          </w:tcPr>
          <w:p w:rsidR="002E3202" w:rsidRDefault="00391FE7">
            <w:pPr>
              <w:jc w:val="center"/>
            </w:pPr>
            <w:r>
              <w:t>22.000.000</w:t>
            </w:r>
          </w:p>
        </w:tc>
        <w:tc>
          <w:tcPr>
            <w:tcW w:w="918" w:type="dxa"/>
          </w:tcPr>
          <w:p w:rsidR="002E3202" w:rsidRDefault="00391FE7">
            <w:pPr>
              <w:jc w:val="center"/>
            </w:pPr>
            <w:r>
              <w:t>22.100.000</w:t>
            </w:r>
          </w:p>
        </w:tc>
      </w:tr>
    </w:tbl>
    <w:p w:rsidR="002E3202" w:rsidRDefault="002E3202">
      <w:pPr>
        <w:jc w:val="left"/>
      </w:pPr>
    </w:p>
    <w:p w:rsidR="002E3202" w:rsidRDefault="00391FE7">
      <w:pPr>
        <w:pStyle w:val="Heading4"/>
      </w:pPr>
      <w:r>
        <w:t>A570219 IZGRADNJA, SANACIJA I REKONSTRUKCIJA OBJEKATA PODGRADNJE U LUKAMA OTVORENIM ZA JAVNI PROMET OD ŽUPANIJSKOG I LOKALNOG ZNAČAJA TE MODERNIZACIJA, OBNOVA I IZGRADNJA RIBARSKE INFRASTRUKTURE</w:t>
      </w:r>
    </w:p>
    <w:p w:rsidR="002E3202" w:rsidRDefault="00391FE7">
      <w:pPr>
        <w:pStyle w:val="Heading8"/>
        <w:jc w:val="left"/>
      </w:pPr>
      <w:r>
        <w:t>Zakonske i druge pravne osnove</w:t>
      </w:r>
    </w:p>
    <w:p w:rsidR="002E3202" w:rsidRDefault="00391FE7">
      <w:r>
        <w:t>- Zakon o pomorskom dobru i morskim lukama, članak 40.</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A570219</w:t>
            </w:r>
          </w:p>
        </w:tc>
        <w:tc>
          <w:tcPr>
            <w:tcW w:w="1632" w:type="dxa"/>
            <w:vAlign w:val="top"/>
          </w:tcPr>
          <w:p w:rsidR="002E3202" w:rsidRDefault="00391FE7">
            <w:pPr>
              <w:jc w:val="right"/>
            </w:pPr>
            <w:r>
              <w:t>14.082.006</w:t>
            </w:r>
          </w:p>
        </w:tc>
        <w:tc>
          <w:tcPr>
            <w:tcW w:w="1632" w:type="dxa"/>
            <w:vAlign w:val="top"/>
          </w:tcPr>
          <w:p w:rsidR="002E3202" w:rsidRDefault="00391FE7">
            <w:pPr>
              <w:jc w:val="right"/>
            </w:pPr>
            <w:r>
              <w:t>18.648.300</w:t>
            </w:r>
          </w:p>
        </w:tc>
        <w:tc>
          <w:tcPr>
            <w:tcW w:w="1632" w:type="dxa"/>
            <w:vAlign w:val="top"/>
          </w:tcPr>
          <w:p w:rsidR="002E3202" w:rsidRDefault="00391FE7">
            <w:pPr>
              <w:jc w:val="right"/>
            </w:pPr>
            <w:r>
              <w:t>11.286.550</w:t>
            </w:r>
          </w:p>
        </w:tc>
        <w:tc>
          <w:tcPr>
            <w:tcW w:w="1632" w:type="dxa"/>
            <w:vAlign w:val="top"/>
          </w:tcPr>
          <w:p w:rsidR="002E3202" w:rsidRDefault="00391FE7">
            <w:pPr>
              <w:jc w:val="right"/>
            </w:pPr>
            <w:r>
              <w:t>11.286.550</w:t>
            </w:r>
          </w:p>
        </w:tc>
        <w:tc>
          <w:tcPr>
            <w:tcW w:w="1632" w:type="dxa"/>
            <w:vAlign w:val="top"/>
          </w:tcPr>
          <w:p w:rsidR="002E3202" w:rsidRDefault="00391FE7">
            <w:pPr>
              <w:jc w:val="right"/>
            </w:pPr>
            <w:r>
              <w:t>11.286.550</w:t>
            </w:r>
          </w:p>
        </w:tc>
        <w:tc>
          <w:tcPr>
            <w:tcW w:w="510" w:type="dxa"/>
            <w:vAlign w:val="top"/>
          </w:tcPr>
          <w:p w:rsidR="002E3202" w:rsidRDefault="00391FE7">
            <w:pPr>
              <w:jc w:val="right"/>
            </w:pPr>
            <w:r>
              <w:t>60,5</w:t>
            </w:r>
          </w:p>
        </w:tc>
      </w:tr>
    </w:tbl>
    <w:p w:rsidR="002E3202" w:rsidRDefault="002E3202">
      <w:pPr>
        <w:jc w:val="left"/>
      </w:pPr>
    </w:p>
    <w:p w:rsidR="002E3202" w:rsidRDefault="00391FE7">
      <w:r>
        <w:t xml:space="preserve">U okviru ove aktivnosti provode se dva projekta: Projekt izgradnje, sanacije i rekonstrukcije objekata podgradnje namijenjenih za prihvat trajektnih, putničkih i ribarskih brodova u lukama otvorenim za javni promet od županijskog i lokalnog značaja i Projekt sanacije i rekonstrukcije pomorskog dobra u općoj upotrebi.  </w:t>
      </w:r>
    </w:p>
    <w:p w:rsidR="002E3202" w:rsidRDefault="00391FE7">
      <w:r>
        <w:t xml:space="preserve">Radi održivog rasta i konkurentnosti pomorskog gospodarstva kao strateškog cilja RH potrebna su, između ostalog, i ulaganja u lučku infrastrukturu. Radi potrebe povezivanja obale i otoka te otoka međusobno, sufinancira se izgradnja i rekonstrukcija infrastrukture u županijskim i lokalnim lukama otvorenim za javni promet, te infrastruktura potrebna za prihvat ribarskih plovila. Navedeni infrastrukturni projekti su od izuzetnog značaja za održivi razvoj otoka te očuvanje demografske slike otoka. Konačni cilj je da ti projekti čine jedinstvenu integriranu cjelinu prometne mreže povezivanja otoka s kopnom i otoka međusobno. Radi pomoći u brizi oko pomorskog dobra, Ministarstvo sufinancira i projekte sanacije i rekonstrukcije pomorskog dobra u općoj upotrebi, a koje se nalazi na području jedinica lokalne samouprave.  </w:t>
      </w:r>
    </w:p>
    <w:p w:rsidR="002E3202" w:rsidRDefault="00391FE7">
      <w:r>
        <w:t xml:space="preserve">Za Projekt izgradnje, sanacije i rekonstrukcije objekata podgradnje namijenjenih za prihvat trajektnih, putničkih i ribarskih brodova u lukama otvorenim za javni promet od županijskog i lokalnog značaja sredstva su planirana po godinama kako slijedi:  </w:t>
      </w:r>
    </w:p>
    <w:p w:rsidR="002E3202" w:rsidRDefault="00391FE7">
      <w:r>
        <w:t xml:space="preserve">2024. godina: 10.000.000 eura  </w:t>
      </w:r>
    </w:p>
    <w:p w:rsidR="002E3202" w:rsidRDefault="00391FE7">
      <w:r>
        <w:t xml:space="preserve">2025. godina: 10.000.000 eura </w:t>
      </w:r>
    </w:p>
    <w:p w:rsidR="002E3202" w:rsidRDefault="00391FE7">
      <w:r>
        <w:t xml:space="preserve">2026. godina:  10.000.000 eura </w:t>
      </w:r>
    </w:p>
    <w:p w:rsidR="002E3202" w:rsidRDefault="00391FE7">
      <w:r>
        <w:t xml:space="preserve">Za Projekt sanacije i rekonstrukcije pomorskog dobra u općoj upotrebi sredstva su planirana po godinama kako slijedi:  </w:t>
      </w:r>
    </w:p>
    <w:p w:rsidR="002E3202" w:rsidRDefault="00391FE7">
      <w:r>
        <w:t xml:space="preserve">2024. godina: 1.286.550 eura </w:t>
      </w:r>
    </w:p>
    <w:p w:rsidR="002E3202" w:rsidRDefault="00391FE7">
      <w:r>
        <w:t xml:space="preserve">2025. godina: 1.286.550 eura </w:t>
      </w:r>
    </w:p>
    <w:p w:rsidR="002E3202" w:rsidRDefault="00391FE7">
      <w:r>
        <w:t xml:space="preserve">2026. godina:  1.286.550 eura  </w:t>
      </w:r>
    </w:p>
    <w:p w:rsidR="002E3202" w:rsidRDefault="00391FE7">
      <w:r>
        <w:t>Svake godine sve je veći broj zahtjeva, te samim time i traženih iznosa sufinanciranja, stoga Ministarstvo pokušava osigurati dovoljno sredstava. Za svaki od navedenih projekta, jednom godišnje, Ministarstvo na svojim službenim web stranicama objavi poziv za dostavu projektnih prijedloga.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odobrenih projekata za izgradnju, sanaciju i rekonstrukciju objekata podgradnje namijenjenih za prihvat trajektnih, putničkih i ribarskih brodova u lukama otvorenim za javni promet od županijskog i lokalnog značaja (godišnja vrijednost)</w:t>
            </w:r>
          </w:p>
        </w:tc>
        <w:tc>
          <w:tcPr>
            <w:tcW w:w="2245" w:type="dxa"/>
            <w:vAlign w:val="top"/>
          </w:tcPr>
          <w:p w:rsidR="002E3202" w:rsidRDefault="00391FE7">
            <w:pPr>
              <w:pStyle w:val="CellColumn"/>
              <w:jc w:val="left"/>
            </w:pPr>
            <w:r>
              <w:rPr>
                <w:rFonts w:cs="Times New Roman"/>
              </w:rPr>
              <w:t>Povećanje izgrađenosti infrastrukture radi osiguranja povezivanja i komunalnog veza za lokalno stanovništvo</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27</w:t>
            </w:r>
          </w:p>
        </w:tc>
        <w:tc>
          <w:tcPr>
            <w:tcW w:w="918" w:type="dxa"/>
          </w:tcPr>
          <w:p w:rsidR="002E3202" w:rsidRDefault="00391FE7">
            <w:pPr>
              <w:jc w:val="center"/>
            </w:pPr>
            <w:r>
              <w:t>28</w:t>
            </w:r>
          </w:p>
        </w:tc>
        <w:tc>
          <w:tcPr>
            <w:tcW w:w="918" w:type="dxa"/>
          </w:tcPr>
          <w:p w:rsidR="002E3202" w:rsidRDefault="00391FE7">
            <w:pPr>
              <w:jc w:val="center"/>
            </w:pPr>
            <w:r>
              <w:t>28</w:t>
            </w:r>
          </w:p>
        </w:tc>
      </w:tr>
      <w:tr w:rsidR="002E3202">
        <w:trPr>
          <w:jc w:val="center"/>
        </w:trPr>
        <w:tc>
          <w:tcPr>
            <w:tcW w:w="2245" w:type="dxa"/>
            <w:vAlign w:val="top"/>
          </w:tcPr>
          <w:p w:rsidR="002E3202" w:rsidRDefault="00391FE7">
            <w:pPr>
              <w:pStyle w:val="CellColumn"/>
              <w:jc w:val="left"/>
            </w:pPr>
            <w:r>
              <w:rPr>
                <w:rFonts w:cs="Times New Roman"/>
              </w:rPr>
              <w:t>Broj odobrenih projekata za sanaciju i rekonstrukciju pomorskog dobra u općoj upotrebi (godišnja vrijednost)</w:t>
            </w:r>
          </w:p>
        </w:tc>
        <w:tc>
          <w:tcPr>
            <w:tcW w:w="2245" w:type="dxa"/>
            <w:vAlign w:val="top"/>
          </w:tcPr>
          <w:p w:rsidR="002E3202" w:rsidRDefault="00391FE7">
            <w:pPr>
              <w:pStyle w:val="CellColumn"/>
              <w:jc w:val="left"/>
            </w:pPr>
            <w:r>
              <w:rPr>
                <w:rFonts w:cs="Times New Roman"/>
              </w:rPr>
              <w:t>Povećanje uređenosti infrastrukture radi sigurnog korištenja pomorskog dobra kao jednog od temeljnih resursa RH</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37</w:t>
            </w:r>
          </w:p>
        </w:tc>
        <w:tc>
          <w:tcPr>
            <w:tcW w:w="918" w:type="dxa"/>
          </w:tcPr>
          <w:p w:rsidR="002E3202" w:rsidRDefault="00391FE7">
            <w:pPr>
              <w:jc w:val="center"/>
            </w:pPr>
            <w:r>
              <w:t>37</w:t>
            </w:r>
          </w:p>
        </w:tc>
        <w:tc>
          <w:tcPr>
            <w:tcW w:w="918" w:type="dxa"/>
          </w:tcPr>
          <w:p w:rsidR="002E3202" w:rsidRDefault="00391FE7">
            <w:pPr>
              <w:jc w:val="center"/>
            </w:pPr>
            <w:r>
              <w:t>39</w:t>
            </w:r>
          </w:p>
        </w:tc>
      </w:tr>
    </w:tbl>
    <w:p w:rsidR="002E3202" w:rsidRDefault="002E3202">
      <w:pPr>
        <w:jc w:val="left"/>
      </w:pPr>
    </w:p>
    <w:p w:rsidR="002E3202" w:rsidRDefault="00391FE7">
      <w:pPr>
        <w:pStyle w:val="Heading4"/>
      </w:pPr>
      <w:r>
        <w:t>A570348 UTVRĐIVANJE I PROVEDBA GRANICA POMORSKOG DOBRA S IZVLAŠTENJEM</w:t>
      </w:r>
    </w:p>
    <w:p w:rsidR="002E3202" w:rsidRDefault="00391FE7">
      <w:pPr>
        <w:pStyle w:val="Heading8"/>
        <w:jc w:val="left"/>
      </w:pPr>
      <w:r>
        <w:t>Zakonske i druge pravne osnove</w:t>
      </w:r>
    </w:p>
    <w:p w:rsidR="002E3202" w:rsidRDefault="00391FE7">
      <w:r>
        <w:t>- Zakon o pomorskom dobru i morskim lukama,  članak 20. stavak 1., članak 27.</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A570348</w:t>
            </w:r>
          </w:p>
        </w:tc>
        <w:tc>
          <w:tcPr>
            <w:tcW w:w="1632" w:type="dxa"/>
            <w:vAlign w:val="top"/>
          </w:tcPr>
          <w:p w:rsidR="002E3202" w:rsidRDefault="00391FE7">
            <w:pPr>
              <w:jc w:val="right"/>
            </w:pPr>
            <w:r>
              <w:t>397.551</w:t>
            </w:r>
          </w:p>
        </w:tc>
        <w:tc>
          <w:tcPr>
            <w:tcW w:w="1632" w:type="dxa"/>
            <w:vAlign w:val="top"/>
          </w:tcPr>
          <w:p w:rsidR="002E3202" w:rsidRDefault="00391FE7">
            <w:pPr>
              <w:jc w:val="right"/>
            </w:pPr>
            <w:r>
              <w:t>480.719</w:t>
            </w:r>
          </w:p>
        </w:tc>
        <w:tc>
          <w:tcPr>
            <w:tcW w:w="1632" w:type="dxa"/>
            <w:vAlign w:val="top"/>
          </w:tcPr>
          <w:p w:rsidR="002E3202" w:rsidRDefault="00391FE7">
            <w:pPr>
              <w:jc w:val="right"/>
            </w:pPr>
            <w:r>
              <w:t>514.490</w:t>
            </w:r>
          </w:p>
        </w:tc>
        <w:tc>
          <w:tcPr>
            <w:tcW w:w="1632" w:type="dxa"/>
            <w:vAlign w:val="top"/>
          </w:tcPr>
          <w:p w:rsidR="002E3202" w:rsidRDefault="00391FE7">
            <w:pPr>
              <w:jc w:val="right"/>
            </w:pPr>
            <w:r>
              <w:t>514.490</w:t>
            </w:r>
          </w:p>
        </w:tc>
        <w:tc>
          <w:tcPr>
            <w:tcW w:w="1632" w:type="dxa"/>
            <w:vAlign w:val="top"/>
          </w:tcPr>
          <w:p w:rsidR="002E3202" w:rsidRDefault="00391FE7">
            <w:pPr>
              <w:jc w:val="right"/>
            </w:pPr>
            <w:r>
              <w:t>514.490</w:t>
            </w:r>
          </w:p>
        </w:tc>
        <w:tc>
          <w:tcPr>
            <w:tcW w:w="510" w:type="dxa"/>
            <w:vAlign w:val="top"/>
          </w:tcPr>
          <w:p w:rsidR="002E3202" w:rsidRDefault="00391FE7">
            <w:pPr>
              <w:jc w:val="right"/>
            </w:pPr>
            <w:r>
              <w:t>107,0</w:t>
            </w:r>
          </w:p>
        </w:tc>
      </w:tr>
    </w:tbl>
    <w:p w:rsidR="002E3202" w:rsidRDefault="002E3202">
      <w:pPr>
        <w:jc w:val="left"/>
      </w:pPr>
    </w:p>
    <w:p w:rsidR="002E3202" w:rsidRDefault="00391FE7">
      <w:r>
        <w:t xml:space="preserve">Pomorsko dobro je opće dobro od interesa za RH i njegove je potencijale moguće iskoristiti nakon što se utvrde granice pomorskog dobra te se utvrđeno pomorsko dobro evidentira i provede u katastar i zemljišne knjige. U cilju izrade prijedloga za utvrđivanje granica pomorskog dobra, te izrade geodetskih podloga i elaborata sredstva sa aktivnosti koriste se za sufinanciranje projekata čiji je krajnji cilj utvrđivanje i provedba granicama utvrđenog pomorskog dobra. Korisnici navedenih sredstava su sedam županija u čijoj nadležnosti se nalazi pomorsko dobro. Ministarstvo svake godine na iste pošalje Javni poziv za dodjelu projektnih prijedloga za navedeni projekt.   </w:t>
      </w:r>
    </w:p>
    <w:p w:rsidR="002E3202" w:rsidRDefault="00391FE7">
      <w:r>
        <w:t xml:space="preserve">Osigurana sredstva za Projekt čiji je cilj utvrđivanje i provedba granicama utvrđenog pomorskog dobra planirana su po godinama kako slijedi:  </w:t>
      </w:r>
    </w:p>
    <w:p w:rsidR="002E3202" w:rsidRDefault="00391FE7">
      <w:r>
        <w:t xml:space="preserve">2024. godina: 100.000 eura  </w:t>
      </w:r>
    </w:p>
    <w:p w:rsidR="002E3202" w:rsidRDefault="00391FE7">
      <w:r>
        <w:t xml:space="preserve">2025. godina: 100.000 eura  </w:t>
      </w:r>
    </w:p>
    <w:p w:rsidR="002E3202" w:rsidRDefault="00391FE7">
      <w:r>
        <w:t xml:space="preserve">2026. godina: 100.000 eura  </w:t>
      </w:r>
    </w:p>
    <w:p w:rsidR="002E3202" w:rsidRDefault="00391FE7">
      <w:r>
        <w:t xml:space="preserve">U odnosu na utvrđene granice pomorskog dobra, trenutno u Ministarstvu i JLRS postoji velika količina podataka koje treba sistematizirati i oblikovati u jedinstvenu bazu podataka pomorskog dobra (GIS), a za potrebe raspolaganja istima.  </w:t>
      </w:r>
    </w:p>
    <w:p w:rsidR="002E3202" w:rsidRDefault="00391FE7">
      <w:r>
        <w:t xml:space="preserve">U 2018. godini nabavljen je Informacijski sustav upravljanja pomorskim dobrom i morskim lukama (GIS), koji bi u konačnici trebao omogućiti cjelovito praćenje upravljanja pomorskim dobrom, te njegova prilagodba, održavanje i unos podataka kontinuirano se provodi. Za održavanje i nadogradnju postojećeg sustava na ovoj aktivnosti osiguravaju se sredstva po godinama kako slijedi:  </w:t>
      </w:r>
    </w:p>
    <w:p w:rsidR="002E3202" w:rsidRDefault="00391FE7">
      <w:r>
        <w:t xml:space="preserve">2024. godina: 304.930 eura  </w:t>
      </w:r>
    </w:p>
    <w:p w:rsidR="002E3202" w:rsidRDefault="00391FE7">
      <w:r>
        <w:t xml:space="preserve">2025. godina: 304.930 eura  </w:t>
      </w:r>
    </w:p>
    <w:p w:rsidR="002E3202" w:rsidRDefault="00391FE7">
      <w:r>
        <w:t xml:space="preserve">2026. godina: 304.930 eura  </w:t>
      </w:r>
    </w:p>
    <w:p w:rsidR="002E3202" w:rsidRDefault="00391FE7">
      <w:r>
        <w:t>Ostatak osiguranih sredstva odnosi se na troškove sudskih postupaka, sudskih vještačenja, te izvlaštenja.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Povećanje broja sufinanciranih podloga i elaborata čiji je krajnji cilj utvrđivanje i provedba granicama utvrđenog pomorskog dobra</w:t>
            </w:r>
          </w:p>
        </w:tc>
        <w:tc>
          <w:tcPr>
            <w:tcW w:w="2245" w:type="dxa"/>
            <w:vAlign w:val="top"/>
          </w:tcPr>
          <w:p w:rsidR="002E3202" w:rsidRDefault="00391FE7">
            <w:pPr>
              <w:pStyle w:val="CellColumn"/>
              <w:jc w:val="left"/>
            </w:pPr>
            <w:r>
              <w:rPr>
                <w:rFonts w:cs="Times New Roman"/>
              </w:rPr>
              <w:t>Povećanjem broja izrađenih geodetskih elaborata i podloga u svrhu utvrđivanja granica pomorskog dobra i lučkih područja luka posebne namjene osigurava se utvrđivanje granica pomorskog dobra i upis pomorskog dobra kao takvog u zemljišnim knjigama, a što je preduvjet za koncesioniranje pomorskog dobra i ostvarivanje prihoda državnog proračuna</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30</w:t>
            </w:r>
          </w:p>
        </w:tc>
        <w:tc>
          <w:tcPr>
            <w:tcW w:w="918" w:type="dxa"/>
          </w:tcPr>
          <w:p w:rsidR="002E3202" w:rsidRDefault="00391FE7">
            <w:pPr>
              <w:jc w:val="center"/>
            </w:pPr>
            <w:r>
              <w:t>30</w:t>
            </w:r>
          </w:p>
        </w:tc>
        <w:tc>
          <w:tcPr>
            <w:tcW w:w="918" w:type="dxa"/>
          </w:tcPr>
          <w:p w:rsidR="002E3202" w:rsidRDefault="00391FE7">
            <w:pPr>
              <w:jc w:val="center"/>
            </w:pPr>
            <w:r>
              <w:t>35</w:t>
            </w:r>
          </w:p>
        </w:tc>
      </w:tr>
    </w:tbl>
    <w:p w:rsidR="002E3202" w:rsidRDefault="002E3202">
      <w:pPr>
        <w:jc w:val="left"/>
      </w:pPr>
    </w:p>
    <w:p w:rsidR="002E3202" w:rsidRDefault="00391FE7">
      <w:pPr>
        <w:pStyle w:val="Heading4"/>
      </w:pPr>
      <w:r>
        <w:t>A570350 DODJELA KONCESIJA NA POMORSKOM DOBRU</w:t>
      </w:r>
    </w:p>
    <w:p w:rsidR="002E3202" w:rsidRDefault="00391FE7">
      <w:pPr>
        <w:pStyle w:val="Heading8"/>
        <w:jc w:val="left"/>
      </w:pPr>
      <w:r>
        <w:t>Zakonske i druge pravne osnove</w:t>
      </w:r>
    </w:p>
    <w:p w:rsidR="002E3202" w:rsidRDefault="00391FE7">
      <w:r>
        <w:t xml:space="preserve">- Zakon o pomorskom dobru i morskim lukama, članak 52, stavak 2.   </w:t>
      </w:r>
    </w:p>
    <w:p w:rsidR="002E3202" w:rsidRDefault="00391FE7">
      <w:r>
        <w:t xml:space="preserve">- Zakon o izvlaštenju i određivanju naknade, članak 57., stavak 1.   </w:t>
      </w:r>
    </w:p>
    <w:p w:rsidR="002E3202" w:rsidRDefault="00391FE7">
      <w:r>
        <w:t>- Zakon o koncesijama, članak 18., stavak 1.</w:t>
      </w:r>
    </w:p>
    <w:tbl>
      <w:tblPr>
        <w:tblStyle w:val="StilTablice"/>
        <w:tblW w:w="10206" w:type="dxa"/>
        <w:jc w:val="center"/>
        <w:tblLook w:val="04A0" w:firstRow="1" w:lastRow="0" w:firstColumn="1" w:lastColumn="0" w:noHBand="0" w:noVBand="1"/>
      </w:tblPr>
      <w:tblGrid>
        <w:gridCol w:w="1476"/>
        <w:gridCol w:w="1563"/>
        <w:gridCol w:w="1538"/>
        <w:gridCol w:w="1547"/>
        <w:gridCol w:w="1556"/>
        <w:gridCol w:w="1556"/>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A570350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1632" w:type="dxa"/>
            <w:vAlign w:val="top"/>
          </w:tcPr>
          <w:p w:rsidR="002E3202" w:rsidRDefault="00391FE7">
            <w:pPr>
              <w:jc w:val="right"/>
            </w:pPr>
            <w:r>
              <w:t>70.000</w:t>
            </w:r>
          </w:p>
        </w:tc>
        <w:tc>
          <w:tcPr>
            <w:tcW w:w="1632" w:type="dxa"/>
            <w:vAlign w:val="top"/>
          </w:tcPr>
          <w:p w:rsidR="002E3202" w:rsidRDefault="00391FE7">
            <w:pPr>
              <w:jc w:val="right"/>
            </w:pPr>
            <w:r>
              <w:t>118.000</w:t>
            </w:r>
          </w:p>
        </w:tc>
        <w:tc>
          <w:tcPr>
            <w:tcW w:w="1632" w:type="dxa"/>
            <w:vAlign w:val="top"/>
          </w:tcPr>
          <w:p w:rsidR="002E3202" w:rsidRDefault="00391FE7">
            <w:pPr>
              <w:jc w:val="right"/>
            </w:pPr>
            <w:r>
              <w:t>118.000</w:t>
            </w:r>
          </w:p>
        </w:tc>
        <w:tc>
          <w:tcPr>
            <w:tcW w:w="510" w:type="dxa"/>
            <w:vAlign w:val="top"/>
          </w:tcPr>
          <w:p w:rsidR="002E3202" w:rsidRDefault="00391FE7">
            <w:pPr>
              <w:jc w:val="right"/>
            </w:pPr>
            <w:r>
              <w:t>0,0</w:t>
            </w:r>
          </w:p>
        </w:tc>
      </w:tr>
    </w:tbl>
    <w:p w:rsidR="002E3202" w:rsidRDefault="002E3202">
      <w:pPr>
        <w:jc w:val="left"/>
      </w:pPr>
    </w:p>
    <w:p w:rsidR="002E3202" w:rsidRDefault="00391FE7">
      <w:r>
        <w:t xml:space="preserve">Ministarstvo mora, prometa i infrastrukture provodi postupke dodjele koncesija za koje je davatelj koncesije Vlada Republike Hrvatske. Odredbom članka 7. stavka 2. Zakona o koncesijama propisano je kako u slučajevima u kojim je u ime Republike Hrvatske davatelj koncesije Vlada Republike Hrvatske, osim donošenja odluke o davanju koncesije, pripremne radnje za davanje koncesije, kao i postupak davanja koncesije, može provoditi nadležno ministarstvo. Člankom 14. Zakona o koncesijama propisano je da se pripremnim radnjama za davanje koncesije smatraju, između ostaloga, izrada studije opravdanosti davanja koncesije ili analize davanja koncesije te izrada dokumentacije za nadmetanje. Obveza izrade studije opravdanosti davanja koncesije izrađuje se na teret davatelja koncesije. Ministarstvo također, sukladno članku 78. stavku 2. Zakona o koncesijama, izrađuje Godišnji plan davanja koncesija iz svoje nadležnosti koji se izrađuje temeljem već započetih postupaka u prijašnjim godinama i zaprimljenim pismima inicijative.  </w:t>
      </w:r>
    </w:p>
    <w:p w:rsidR="002E3202" w:rsidRDefault="00391FE7">
      <w:r>
        <w:t xml:space="preserve">Postojeći model davanja koncesija nije u dovoljnoj mjeri usklađen s današnjim zahtjevima za korištenje pomorskog dobra te postoji potreba za izradom nove metodologije kojom bi se unaprijedio postupak dodjele koncesija na pomorskom dobru. Novom metodologijom potrebno je na jasan i cjelovit način definirati početne iznose koncesijske naknade kod raspisa javnog prikupljanja ponuda i utvrditi kriterije za davanje koncesije za sve vrste koncesija na pomorskom dobru, uvažavajući određene ciljeve i načela. Temeljem navedenog, Ministarstvo mora, prometa i infrastrukture planira izraditi „Studiju zoniranja pomorskog dobra“. Studija se planira napraviti kroz naredne dvije godine, a osigurana sredstva za navedenu namjenu osigurana su u ukupnom iznosu od 199.000 (tijekom 2024., 2025. i 2026. godine).  </w:t>
      </w:r>
    </w:p>
    <w:p w:rsidR="002E3202" w:rsidRDefault="00391FE7">
      <w:r>
        <w:t xml:space="preserve">Osiguravaju se i sredstva za savjetodavne usluge koje služe za pripremu navedenih dokumenata. Sredstva su osigurana po godinama kako slijedi:  </w:t>
      </w:r>
    </w:p>
    <w:p w:rsidR="002E3202" w:rsidRDefault="00391FE7">
      <w:r>
        <w:t xml:space="preserve">2024. godina: 20.000 eura </w:t>
      </w:r>
    </w:p>
    <w:p w:rsidR="002E3202" w:rsidRDefault="00391FE7">
      <w:r>
        <w:t xml:space="preserve">2025. godina: 35.000 eura </w:t>
      </w:r>
    </w:p>
    <w:p w:rsidR="002E3202" w:rsidRDefault="00391FE7">
      <w:r>
        <w:t>2026. godina: 35.000 eura.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Izrada „Studije zoniranja pomorskog dobra</w:t>
            </w:r>
          </w:p>
        </w:tc>
        <w:tc>
          <w:tcPr>
            <w:tcW w:w="2245" w:type="dxa"/>
            <w:vAlign w:val="top"/>
          </w:tcPr>
          <w:p w:rsidR="002E3202" w:rsidRDefault="00391FE7">
            <w:pPr>
              <w:pStyle w:val="CellColumn"/>
              <w:jc w:val="left"/>
            </w:pPr>
            <w:r>
              <w:rPr>
                <w:rFonts w:cs="Times New Roman"/>
              </w:rPr>
              <w:t>Postizanje više naknade za koncesiju na područjima koja su gospodarski atraktivnija i infrastrukturno opremljenija, te poticanje ulaganja u gospodarski manje atraktivna područja, kao i infrastrukturno slabije opremljena kroz nižu naknadu za koncesiju</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0,5</w:t>
            </w:r>
          </w:p>
        </w:tc>
        <w:tc>
          <w:tcPr>
            <w:tcW w:w="918" w:type="dxa"/>
          </w:tcPr>
          <w:p w:rsidR="002E3202" w:rsidRDefault="00391FE7">
            <w:pPr>
              <w:jc w:val="center"/>
            </w:pPr>
            <w:r>
              <w:t>0,75</w:t>
            </w:r>
          </w:p>
        </w:tc>
        <w:tc>
          <w:tcPr>
            <w:tcW w:w="918" w:type="dxa"/>
          </w:tcPr>
          <w:p w:rsidR="002E3202" w:rsidRDefault="00391FE7">
            <w:pPr>
              <w:jc w:val="center"/>
            </w:pPr>
            <w:r>
              <w:t>1</w:t>
            </w:r>
          </w:p>
        </w:tc>
      </w:tr>
    </w:tbl>
    <w:p w:rsidR="002E3202" w:rsidRDefault="002E3202">
      <w:pPr>
        <w:jc w:val="left"/>
      </w:pPr>
    </w:p>
    <w:p w:rsidR="002E3202" w:rsidRDefault="00391FE7">
      <w:pPr>
        <w:pStyle w:val="Heading4"/>
      </w:pPr>
      <w:r>
        <w:t>A570482 STIPENDIRANJE REDOVITIH UČENIKA I STUDENATA SREDNJIH POMORSKIH ŠKOLA I POMORSKIH FAKULTETA</w:t>
      </w:r>
    </w:p>
    <w:p w:rsidR="002E3202" w:rsidRDefault="00391FE7">
      <w:pPr>
        <w:pStyle w:val="Heading8"/>
        <w:jc w:val="left"/>
      </w:pPr>
      <w:r>
        <w:t>Zakonske i druge pravne osnove</w:t>
      </w:r>
    </w:p>
    <w:p w:rsidR="002E3202" w:rsidRDefault="00391FE7">
      <w:r>
        <w:t xml:space="preserve">- Zakon o sustavu državne uprave, članak 17.   </w:t>
      </w:r>
    </w:p>
    <w:p w:rsidR="002E3202" w:rsidRDefault="00391FE7">
      <w:r>
        <w:t xml:space="preserve">- ODLUKA ministra mora, prometa i infrastrukture - o uvjetima za dodjelu stipendija redovitim studentima preddiplomskog sveučilišnog studija nautičkog i brodostrojarskog smjera, kao i učenicima koji pohađaju srednjoškolsko obrazovanje nautičkog, brodostrojarskog i ribarsko - nautičkog smjera u akademskoj, odnosno školskoj godini  </w:t>
      </w:r>
    </w:p>
    <w:p w:rsidR="002E3202" w:rsidRDefault="00391FE7">
      <w:r>
        <w:t xml:space="preserve">- UGOVOR o dodjeli stipendije  </w:t>
      </w:r>
    </w:p>
    <w:p w:rsidR="002E3202" w:rsidRDefault="00391FE7">
      <w:r>
        <w:t>- Program stipendiranja redovitih studenata preddiplomskog sveučilišnog studija nautičkog i brodostrojarskog smjera i učenika koji pohađaju srednjoškolsko obrazovanje nautičkog i brodostrojarskog smjera temelji se na Zaključku Vlade Republike Hrvatske od 23. veljače 2006.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A570482</w:t>
            </w:r>
          </w:p>
        </w:tc>
        <w:tc>
          <w:tcPr>
            <w:tcW w:w="1632" w:type="dxa"/>
            <w:vAlign w:val="top"/>
          </w:tcPr>
          <w:p w:rsidR="002E3202" w:rsidRDefault="00391FE7">
            <w:pPr>
              <w:jc w:val="right"/>
            </w:pPr>
            <w:r>
              <w:t>249.115</w:t>
            </w:r>
          </w:p>
        </w:tc>
        <w:tc>
          <w:tcPr>
            <w:tcW w:w="1632" w:type="dxa"/>
            <w:vAlign w:val="top"/>
          </w:tcPr>
          <w:p w:rsidR="002E3202" w:rsidRDefault="00391FE7">
            <w:pPr>
              <w:jc w:val="right"/>
            </w:pPr>
            <w:r>
              <w:t>388.878</w:t>
            </w:r>
          </w:p>
        </w:tc>
        <w:tc>
          <w:tcPr>
            <w:tcW w:w="1632" w:type="dxa"/>
            <w:vAlign w:val="top"/>
          </w:tcPr>
          <w:p w:rsidR="002E3202" w:rsidRDefault="00391FE7">
            <w:pPr>
              <w:jc w:val="right"/>
            </w:pPr>
            <w:r>
              <w:t>388.878</w:t>
            </w:r>
          </w:p>
        </w:tc>
        <w:tc>
          <w:tcPr>
            <w:tcW w:w="1632" w:type="dxa"/>
            <w:vAlign w:val="top"/>
          </w:tcPr>
          <w:p w:rsidR="002E3202" w:rsidRDefault="00391FE7">
            <w:pPr>
              <w:jc w:val="right"/>
            </w:pPr>
            <w:r>
              <w:t>388.878</w:t>
            </w:r>
          </w:p>
        </w:tc>
        <w:tc>
          <w:tcPr>
            <w:tcW w:w="1632" w:type="dxa"/>
            <w:vAlign w:val="top"/>
          </w:tcPr>
          <w:p w:rsidR="002E3202" w:rsidRDefault="00391FE7">
            <w:pPr>
              <w:jc w:val="right"/>
            </w:pPr>
            <w:r>
              <w:t>388.878</w:t>
            </w:r>
          </w:p>
        </w:tc>
        <w:tc>
          <w:tcPr>
            <w:tcW w:w="510" w:type="dxa"/>
            <w:vAlign w:val="top"/>
          </w:tcPr>
          <w:p w:rsidR="002E3202" w:rsidRDefault="00391FE7">
            <w:pPr>
              <w:jc w:val="right"/>
            </w:pPr>
            <w:r>
              <w:t>100,0</w:t>
            </w:r>
          </w:p>
        </w:tc>
      </w:tr>
    </w:tbl>
    <w:p w:rsidR="002E3202" w:rsidRDefault="002E3202">
      <w:pPr>
        <w:jc w:val="left"/>
      </w:pPr>
    </w:p>
    <w:p w:rsidR="002E3202" w:rsidRDefault="00391FE7">
      <w:r>
        <w:t xml:space="preserve">Ova aktivnost provodi se od 2006. godine, a omogućava mladim pomorcima završetak obveznog obrazovnog procesa, koji je preduvjet za stjecanje časničkih zvanja jer svi naši časnici poznati su u svijetu kao izrazito vrsni stručnjaci te time predstavljaju jedan od najboljih „hrvatskih izvoznih proizvoda“.  </w:t>
      </w:r>
    </w:p>
    <w:p w:rsidR="002E3202" w:rsidRDefault="00391FE7">
      <w:r>
        <w:t xml:space="preserve">Financijska proračunska sredstva u proračunskom razdoblju 2024.-2026. planiraju se utrošiti za stipendiranje redovitih učenika i studenata srednjih pomorskih škola i pomorskih fakulteta, temeljem sklopljenih Ugovora o stipendiranju po pojedinom studentu/učeniku, a na osnovu ranije donesenih Rješenja ministra mora, prometa i infrastrukture o dodjeli stipendija.  </w:t>
      </w:r>
    </w:p>
    <w:p w:rsidR="002E3202" w:rsidRDefault="00391FE7">
      <w:r>
        <w:t xml:space="preserve">Stipendiranje redovitih studenata (sa 159,28 eura i učenika sa 106,18 eura mjesečno), projekt je kojeg Ministarstvo mora, prometa i infrastrukture provodi u cilju zaustavljanja trenda pada upisa u pomorske fakultete i škole. Poticanjem školovanja i specijalističke naobrazbe, razvidno je da se povećava broj i kvaliteta osposobljenih pomoraca na pomorskim školama i fakultetima. U tekućoj 2023. godini, novčana sredstva stipendije mjesečno prima ukupno 178 stipendista, a za što su planirana proračunska sredstva u iznosu od 384.896 EUR.  </w:t>
      </w:r>
    </w:p>
    <w:p w:rsidR="002E3202" w:rsidRDefault="00391FE7">
      <w:r>
        <w:t xml:space="preserve">Kako tekuće godine, tako i u proračunskom razdoblju 2024. - 2026. godine, tendencija je stagnacije broja stipendista u cilju postizanja povećanja izvrsnosti učenika i studenata pomorskih srednjih škola i fakulteta. </w:t>
      </w:r>
    </w:p>
    <w:p w:rsidR="002E3202" w:rsidRDefault="00391FE7">
      <w:r>
        <w:t>Iznos od 3.982 eura namijenjen je za javne bilježnike, prilikom sklapanja novih ugovora u narednim razdobljima.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dodijeljenih školarina i stipendija u oblasti pomorskog prometa</w:t>
            </w:r>
          </w:p>
        </w:tc>
        <w:tc>
          <w:tcPr>
            <w:tcW w:w="2245" w:type="dxa"/>
            <w:vAlign w:val="top"/>
          </w:tcPr>
          <w:p w:rsidR="002E3202" w:rsidRDefault="00391FE7">
            <w:pPr>
              <w:pStyle w:val="CellColumn"/>
              <w:jc w:val="left"/>
            </w:pPr>
            <w:r>
              <w:rPr>
                <w:rFonts w:cs="Times New Roman"/>
              </w:rPr>
              <w:t>Edukacijom stručnog kadra postiže se kvalitetnija usluga u pomorskom prometu (godišnja vrijednost)</w:t>
            </w:r>
          </w:p>
        </w:tc>
        <w:tc>
          <w:tcPr>
            <w:tcW w:w="918" w:type="dxa"/>
          </w:tcPr>
          <w:p w:rsidR="002E3202" w:rsidRDefault="00391FE7">
            <w:pPr>
              <w:jc w:val="center"/>
            </w:pPr>
            <w:r>
              <w:t>broj</w:t>
            </w:r>
          </w:p>
        </w:tc>
        <w:tc>
          <w:tcPr>
            <w:tcW w:w="918" w:type="dxa"/>
          </w:tcPr>
          <w:p w:rsidR="002E3202" w:rsidRDefault="00391FE7">
            <w:pPr>
              <w:jc w:val="center"/>
            </w:pPr>
            <w:r>
              <w:t>178</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178</w:t>
            </w:r>
          </w:p>
        </w:tc>
        <w:tc>
          <w:tcPr>
            <w:tcW w:w="918" w:type="dxa"/>
          </w:tcPr>
          <w:p w:rsidR="002E3202" w:rsidRDefault="00391FE7">
            <w:pPr>
              <w:jc w:val="center"/>
            </w:pPr>
            <w:r>
              <w:t>178</w:t>
            </w:r>
          </w:p>
        </w:tc>
        <w:tc>
          <w:tcPr>
            <w:tcW w:w="918" w:type="dxa"/>
          </w:tcPr>
          <w:p w:rsidR="002E3202" w:rsidRDefault="00391FE7">
            <w:pPr>
              <w:jc w:val="center"/>
            </w:pPr>
            <w:r>
              <w:t>178</w:t>
            </w:r>
          </w:p>
        </w:tc>
      </w:tr>
    </w:tbl>
    <w:p w:rsidR="002E3202" w:rsidRDefault="002E3202">
      <w:pPr>
        <w:jc w:val="left"/>
      </w:pPr>
    </w:p>
    <w:p w:rsidR="002E3202" w:rsidRDefault="00391FE7">
      <w:pPr>
        <w:pStyle w:val="Heading4"/>
      </w:pPr>
      <w:r>
        <w:t>A754030 ČLANARINE U MEĐUNARODNIM ORGANIZACIJAMA U POMORSTVU</w:t>
      </w:r>
    </w:p>
    <w:p w:rsidR="002E3202" w:rsidRDefault="00391FE7">
      <w:pPr>
        <w:pStyle w:val="Heading8"/>
        <w:jc w:val="left"/>
      </w:pPr>
      <w:r>
        <w:t>Zakonske i druge pravne osnove</w:t>
      </w:r>
    </w:p>
    <w:p w:rsidR="002E3202" w:rsidRDefault="00391FE7">
      <w:r>
        <w:t xml:space="preserve">1. Međunarodna pomorska organizacija (IMO), London, Velika Britanija  </w:t>
      </w:r>
    </w:p>
    <w:p w:rsidR="002E3202" w:rsidRDefault="00391FE7">
      <w:r>
        <w:t xml:space="preserve"> Odlukom o objavljivanju mnogostranih međunarodnih ugovora kojih je Republika Hrvatska stranka, na temelju pristupa (akcesije) (Narodne novine, broj 6/1994, od 6. lipnja 1994. godine) postali smo stranka Konvencije o osnivanju Međuvladine pomorske savjetodavne organizacije (IMCO) (Ženeva, 6. ožujka 1948.). </w:t>
      </w:r>
    </w:p>
    <w:p w:rsidR="002E3202" w:rsidRDefault="00391FE7">
      <w:r>
        <w:t xml:space="preserve">IMCO je izmjenama i dopunama promijenio ime u Međunarodnu pomorsku organizaciju (IMO) kako se i danas zove. Člankom 60. (prije članak 41.) navedene Konvencije određeno je da Skupština odobrava prijedlog proračuna te da raspodjeljuje troškove (doprinos) među državama članicama u skladu sa mjerilima koja utvrdi po razmatranju prijedloga Vijeća.   </w:t>
      </w:r>
    </w:p>
    <w:p w:rsidR="002E3202" w:rsidRDefault="00391FE7">
      <w:r>
        <w:t xml:space="preserve">2. Međunarodna vlast za morsko dno (ISA), Kingston,  Jamajka  </w:t>
      </w:r>
    </w:p>
    <w:p w:rsidR="002E3202" w:rsidRDefault="00391FE7">
      <w:r>
        <w:t>Konvencija Ujedinjenih naroda o pravu mora (UNCLOS) objavljena je u Narodnim novinama- Međunarodni ugovori br. 9/2000. Člankom 156. UNCLOS Konvencije kojim je ustanovljena Međunarodna vlast za morsko dno (ISA) izričito je propisano da su sve države stranke ipso facto članice Vlasti. Člankom  171. UNCLOS Konvencije određeno je da financijska sredstva Vlasti obuhvaćaju, između ostalog, doprinose članova Vlasti određene u skladu sa stavkom 2.(e), članka 160. kojim je određeno da Skupština određuje visine doprinosa članova za upravni proračun Vlasti u skladu s usvojenom skalom razreza, zasnovanoj na skali koja se koristi za redovni proračun Ujedinjenih naroda, dok Vlast ne bude raspolagala s dovoljno prihoda iz drugih izvora za podmirenje upravnih troškova. Republika Hrvatska odgovarajuću notifikaciju o sukcesiji položila je kod glavnog tajnika Ujedinjenih naroda 5. travnja 1995. godine.</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A754030</w:t>
            </w:r>
          </w:p>
        </w:tc>
        <w:tc>
          <w:tcPr>
            <w:tcW w:w="1632" w:type="dxa"/>
            <w:vAlign w:val="top"/>
          </w:tcPr>
          <w:p w:rsidR="002E3202" w:rsidRDefault="00391FE7">
            <w:pPr>
              <w:jc w:val="right"/>
            </w:pPr>
            <w:r>
              <w:t>42.537</w:t>
            </w:r>
          </w:p>
        </w:tc>
        <w:tc>
          <w:tcPr>
            <w:tcW w:w="1632" w:type="dxa"/>
            <w:vAlign w:val="top"/>
          </w:tcPr>
          <w:p w:rsidR="002E3202" w:rsidRDefault="00391FE7">
            <w:pPr>
              <w:jc w:val="right"/>
            </w:pPr>
            <w:r>
              <w:t>66.361</w:t>
            </w:r>
          </w:p>
        </w:tc>
        <w:tc>
          <w:tcPr>
            <w:tcW w:w="1632" w:type="dxa"/>
            <w:vAlign w:val="top"/>
          </w:tcPr>
          <w:p w:rsidR="002E3202" w:rsidRDefault="00391FE7">
            <w:pPr>
              <w:jc w:val="right"/>
            </w:pPr>
            <w:r>
              <w:t>66.361</w:t>
            </w:r>
          </w:p>
        </w:tc>
        <w:tc>
          <w:tcPr>
            <w:tcW w:w="1632" w:type="dxa"/>
            <w:vAlign w:val="top"/>
          </w:tcPr>
          <w:p w:rsidR="002E3202" w:rsidRDefault="00391FE7">
            <w:pPr>
              <w:jc w:val="right"/>
            </w:pPr>
            <w:r>
              <w:t>66.361</w:t>
            </w:r>
          </w:p>
        </w:tc>
        <w:tc>
          <w:tcPr>
            <w:tcW w:w="1632" w:type="dxa"/>
            <w:vAlign w:val="top"/>
          </w:tcPr>
          <w:p w:rsidR="002E3202" w:rsidRDefault="00391FE7">
            <w:pPr>
              <w:jc w:val="right"/>
            </w:pPr>
            <w:r>
              <w:t>66.361</w:t>
            </w:r>
          </w:p>
        </w:tc>
        <w:tc>
          <w:tcPr>
            <w:tcW w:w="510" w:type="dxa"/>
            <w:vAlign w:val="top"/>
          </w:tcPr>
          <w:p w:rsidR="002E3202" w:rsidRDefault="00391FE7">
            <w:pPr>
              <w:jc w:val="right"/>
            </w:pPr>
            <w:r>
              <w:t>100,0</w:t>
            </w:r>
          </w:p>
        </w:tc>
      </w:tr>
    </w:tbl>
    <w:p w:rsidR="002E3202" w:rsidRDefault="002E3202">
      <w:pPr>
        <w:jc w:val="left"/>
      </w:pPr>
    </w:p>
    <w:p w:rsidR="002E3202" w:rsidRDefault="00391FE7">
      <w:r>
        <w:t xml:space="preserve">Međunarodna pomorska organizacija (IMO), London je specijalizirana ustanova Ujedinjenih naroda osnovana 1948. godine s ciljem suradnje između vlada država članica na području pomorstva te je nadležna za razvoj međunarodnih instrumenata vezano za pomorsku sigurnost, sigurnosnu zaštitu i sprječavanje onečišćenja s brodova. Republika Hrvatska je članica od 8. srpnja 1992. godine, kada je na temelju pristupa (akcesije) postala stranka Konvencije o osnivanju Međuvladine pomorske savjetodavne organizacije (IMCO) iz 1948. godine, koja je kasnijim izmjenama preimenovana u Konvenciju o Međunarodnoj pomorskoj organizaciji (IMO).  </w:t>
      </w:r>
    </w:p>
    <w:p w:rsidR="002E3202" w:rsidRDefault="00391FE7">
      <w:r>
        <w:t xml:space="preserve">Članarina se plaća temeljem izračuna za svaku državu članicu kojeg verbalnom notom dostavlja glavni tajnik IMO-a unaprijed za svaku godinu, zajedno sa svim podacima za uplatu, a plativa je u roku od 30 dana od dostave tj. prvog dana kalendarske godine na koju se odnosi. </w:t>
      </w:r>
    </w:p>
    <w:p w:rsidR="002E3202" w:rsidRDefault="00391FE7">
      <w:r>
        <w:t xml:space="preserve">Temeljem dostavljenog Računa i Izvješća Međunarodne pomorske organizacije (IMO) iz Londona o stanju financija za Republiku Hrvatsku kojeg ovo Ministarstvo zaprima početkom siječnja svake kalendarske godine, a koje je vezano za trošak godišnjeg članstva Republike Hrvatske u Međunarodnoj pomorskoj organizaciji (IMO), planiraju se proračunska sredstva za proračunsko razdoblje 2023.-2025. koja iznose cca. 43.103,06 eura godišnje (obračun se temelji na  obračunu godišnje članarine koja iznosi u prosjeku 40.000 GBP). </w:t>
      </w:r>
    </w:p>
    <w:p w:rsidR="002E3202" w:rsidRDefault="00391FE7">
      <w:r>
        <w:t xml:space="preserve">Međunarodna vlast za morsko dno (ISA), Kingston, Jamajka  organizacija je preko koje države stranke organiziraju i nadziru djelatnosti u Zoni, posebno radi upravljanja bogatstvima Zone (obuhvaća dno mora i oceana i njihovo podzemlje izvan granica nacionalne jurisdikcije). Članarina se plaća temeljem izračuna za svaku državu članicu kojeg Stalnom predstavništvu Republike Hrvatske u Ujedinjenim narodima dostavlja glavni tajnik ISA-e unaprijed za svaku godinu, zajedno sa svim podacima za uplatu. </w:t>
      </w:r>
    </w:p>
    <w:p w:rsidR="002E3202" w:rsidRDefault="00391FE7">
      <w:r>
        <w:t xml:space="preserve">Na traženje Uprave za multilateralu i globalna pitanja - Službe za UN pri Ministarstvu vanjskih i europskih poslova, te note Tajništva Međunarodne vlasti za morsko dno (International Seabed Authority), ovo Ministarstvo je u obvezi plaćati doprinos odnosno međunarodnu godišnju članarinu Republike Hrvatske za Međunarodnu vlast za morsko dno (International Seabed Authority- ISA). </w:t>
      </w:r>
    </w:p>
    <w:p w:rsidR="002E3202" w:rsidRDefault="00391FE7">
      <w:r>
        <w:t xml:space="preserve">Obračun se temelji na  obračunu godišnje članarine koja iznosi u prosjeku 7.800 USD, a što iznosi cca. 8.030,26 eura. </w:t>
      </w:r>
    </w:p>
    <w:p w:rsidR="002E3202" w:rsidRDefault="00391FE7">
      <w:r>
        <w:t>Zbog nemogućnosti točne procjene budućeg kretanja tečaja američke valute (USD), odnosno britanske valute (GBP), u 2024. godini i cijelom narednom proračunskom razdoblju, planirana proračunska sredstva za spomenute članarine iznose ukupno 66.361 eura godišnje.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sjednica IMO-a na kojima su sudjelovali predstavnici RH</w:t>
            </w:r>
          </w:p>
        </w:tc>
        <w:tc>
          <w:tcPr>
            <w:tcW w:w="2245" w:type="dxa"/>
            <w:vAlign w:val="top"/>
          </w:tcPr>
          <w:p w:rsidR="002E3202" w:rsidRDefault="00391FE7">
            <w:pPr>
              <w:pStyle w:val="CellColumn"/>
              <w:jc w:val="left"/>
            </w:pPr>
            <w:r>
              <w:rPr>
                <w:rFonts w:cs="Times New Roman"/>
              </w:rPr>
              <w:t xml:space="preserve">Sudjelovanjem na sjednicama postiže se zastupljenost RH u radu Odbora i Pododbora IMO-a, uključujući i sudjelovanje u donošenju odluka i procesu izrade nacrta međunarodnih instrumenata  </w:t>
            </w:r>
          </w:p>
          <w:p w:rsidR="002E3202" w:rsidRDefault="00391FE7">
            <w:pPr>
              <w:pStyle w:val="CellColumn"/>
              <w:jc w:val="left"/>
            </w:pPr>
            <w:r>
              <w:rPr>
                <w:rFonts w:cs="Times New Roman"/>
              </w:rPr>
              <w:t>(godišnja vrijednost)</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12</w:t>
            </w:r>
          </w:p>
        </w:tc>
        <w:tc>
          <w:tcPr>
            <w:tcW w:w="918" w:type="dxa"/>
          </w:tcPr>
          <w:p w:rsidR="002E3202" w:rsidRDefault="00391FE7">
            <w:pPr>
              <w:jc w:val="center"/>
            </w:pPr>
            <w:r>
              <w:t>12</w:t>
            </w:r>
          </w:p>
        </w:tc>
        <w:tc>
          <w:tcPr>
            <w:tcW w:w="918" w:type="dxa"/>
          </w:tcPr>
          <w:p w:rsidR="002E3202" w:rsidRDefault="00391FE7">
            <w:pPr>
              <w:jc w:val="center"/>
            </w:pPr>
            <w:r>
              <w:t>12</w:t>
            </w:r>
          </w:p>
        </w:tc>
      </w:tr>
    </w:tbl>
    <w:p w:rsidR="002E3202" w:rsidRDefault="002E3202">
      <w:pPr>
        <w:jc w:val="left"/>
      </w:pPr>
    </w:p>
    <w:p w:rsidR="002E3202" w:rsidRDefault="00391FE7">
      <w:pPr>
        <w:pStyle w:val="Heading4"/>
      </w:pPr>
      <w:r>
        <w:t>A754037 SUFINANCIRANJE UKRCAJA VJEŽBENIKA NA BRODOVE U MEĐUNARODNOJ I NACIONALNOJ PLOVIDBI</w:t>
      </w:r>
    </w:p>
    <w:p w:rsidR="002E3202" w:rsidRDefault="00391FE7">
      <w:pPr>
        <w:pStyle w:val="Heading8"/>
        <w:jc w:val="left"/>
      </w:pPr>
      <w:r>
        <w:t>Zakonske i druge pravne osnove</w:t>
      </w:r>
    </w:p>
    <w:p w:rsidR="002E3202" w:rsidRDefault="00391FE7">
      <w:r>
        <w:t xml:space="preserve">- Program sufinanciranja ukrcaja vježbenika palube, stroja i elektrotehnike na brodove u međunarodnoj i nacionalnoj plovidbi za razdoblje od 2021. do 2024. godine, kojeg je Vlada Republike Hrvatske usvojila Odlukom od  11. studenog 2021. godine </w:t>
      </w:r>
    </w:p>
    <w:p w:rsidR="002E3202" w:rsidRDefault="00391FE7">
      <w:r>
        <w:t>- Odluka ministra mora, prometa i infrastrukture o raspodjeli proračunskih sredstava subvencije za sufinanciranje vježbeničkog staža pomoraca, točka II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A754037</w:t>
            </w:r>
          </w:p>
        </w:tc>
        <w:tc>
          <w:tcPr>
            <w:tcW w:w="1632" w:type="dxa"/>
            <w:vAlign w:val="top"/>
          </w:tcPr>
          <w:p w:rsidR="002E3202" w:rsidRDefault="00391FE7">
            <w:pPr>
              <w:jc w:val="right"/>
            </w:pPr>
            <w:r>
              <w:t>1.085.772</w:t>
            </w:r>
          </w:p>
        </w:tc>
        <w:tc>
          <w:tcPr>
            <w:tcW w:w="1632" w:type="dxa"/>
            <w:vAlign w:val="top"/>
          </w:tcPr>
          <w:p w:rsidR="002E3202" w:rsidRDefault="00391FE7">
            <w:pPr>
              <w:jc w:val="right"/>
            </w:pPr>
            <w:r>
              <w:t>1.063.017</w:t>
            </w:r>
          </w:p>
        </w:tc>
        <w:tc>
          <w:tcPr>
            <w:tcW w:w="1632" w:type="dxa"/>
            <w:vAlign w:val="top"/>
          </w:tcPr>
          <w:p w:rsidR="002E3202" w:rsidRDefault="00391FE7">
            <w:pPr>
              <w:jc w:val="right"/>
            </w:pPr>
            <w:r>
              <w:t>1.061.782</w:t>
            </w:r>
          </w:p>
        </w:tc>
        <w:tc>
          <w:tcPr>
            <w:tcW w:w="1632" w:type="dxa"/>
            <w:vAlign w:val="top"/>
          </w:tcPr>
          <w:p w:rsidR="002E3202" w:rsidRDefault="00391FE7">
            <w:pPr>
              <w:jc w:val="right"/>
            </w:pPr>
            <w:r>
              <w:t>1.061.782</w:t>
            </w:r>
          </w:p>
        </w:tc>
        <w:tc>
          <w:tcPr>
            <w:tcW w:w="1632" w:type="dxa"/>
            <w:vAlign w:val="top"/>
          </w:tcPr>
          <w:p w:rsidR="002E3202" w:rsidRDefault="00391FE7">
            <w:pPr>
              <w:jc w:val="right"/>
            </w:pPr>
            <w:r>
              <w:t>1.061.782</w:t>
            </w:r>
          </w:p>
        </w:tc>
        <w:tc>
          <w:tcPr>
            <w:tcW w:w="510" w:type="dxa"/>
            <w:vAlign w:val="top"/>
          </w:tcPr>
          <w:p w:rsidR="002E3202" w:rsidRDefault="00391FE7">
            <w:pPr>
              <w:jc w:val="right"/>
            </w:pPr>
            <w:r>
              <w:t>99,9</w:t>
            </w:r>
          </w:p>
        </w:tc>
      </w:tr>
    </w:tbl>
    <w:p w:rsidR="002E3202" w:rsidRDefault="002E3202">
      <w:pPr>
        <w:jc w:val="left"/>
      </w:pPr>
    </w:p>
    <w:p w:rsidR="002E3202" w:rsidRDefault="00391FE7">
      <w:r>
        <w:t xml:space="preserve">Ova aktivnost provodi se od 2015. godine. Temeljem Programa Vlade RH, Ministarstvo mora, prometa i infrastrukture provodi postupak određivanja kvota, odnosno maksimalnog broja dana plovidbe hrvatskih vježbenika, koje će, izabranim brodarima, sufinancirati u navedenom trogodišnjem razdoblju iz Državnog proračuna Republike Hrvatske. </w:t>
      </w:r>
    </w:p>
    <w:p w:rsidR="002E3202" w:rsidRDefault="00391FE7">
      <w:r>
        <w:t xml:space="preserve">Korisnik subvencije je brodar koji ukrcava hrvatske vježbenike na brodove koji plove pod zastavama država članica Europske unije, a samo iznimno i na brodove koji plove pod zastavama trećih država, ako je isto opravdano objektivnim kriterijima, kao što je nedostatak slobodnih mjesta na brodovima država članica Europske unije. </w:t>
      </w:r>
    </w:p>
    <w:p w:rsidR="002E3202" w:rsidRDefault="00391FE7">
      <w:r>
        <w:t xml:space="preserve">Vježbenički staž se subvencionira u trajanju do 12 mjeseci na brodovima od 500 BT ili većim u međunarodnoj plovidbi, odnosno u trajanju do 6 mjeseci na brodovima od 500 BT ili većim u nacionalnoj plovidbi na području Republike Hrvatske i to isključivo kod onog brodara u nacionalnoj plovidbi, koji tom istom vježbeniku osigurava obavljanje i drugog dijela vježbeničkog staža (do punog trajanja) u međunarodnoj plovidbi. </w:t>
      </w:r>
    </w:p>
    <w:p w:rsidR="002E3202" w:rsidRDefault="00391FE7">
      <w:r>
        <w:t xml:space="preserve">Ukrcaj vježbenika se planira sufinancirati u okviru raspoloživih proračunskih sredstava za svaku godinu Programa i to u najmanjem  procijenjenom iznosu od 17,25 eura po ukrcanom vježbeniku dnevno, za vježbenički staž na brodu u međunarodnoj plovidbi, odnosno u najmanjem procijenjenom iznosu od 8,63 eura dnevno, za vježbenički staž na brodu u nacionalnoj plovidbi. Preostali iznos troškova ukrcaja hrvatskih vježbenika, snose brodari vlastitim sredstvima. </w:t>
      </w:r>
    </w:p>
    <w:p w:rsidR="002E3202" w:rsidRDefault="00391FE7">
      <w:r>
        <w:t xml:space="preserve">Troškovi brodara koji su prihvatljivi za sufinanciranje, temeljem ovog Programa, obuhvaćaju troškove plaće, polaznog i povratnog putovanja, troškove mentorskog rada, hranarine, troškove materijala i robe, te amortizacije materijala i potrošne robe, izravno povezane s obavljanjem vježbeničkoga staža. </w:t>
      </w:r>
    </w:p>
    <w:p w:rsidR="002E3202" w:rsidRDefault="00391FE7">
      <w:r>
        <w:t xml:space="preserve">Sredstva za navedeni Program osigurana su u iznosu od 1.061.782 eura godišnje. </w:t>
      </w:r>
    </w:p>
    <w:p w:rsidR="002E3202" w:rsidRDefault="00391FE7">
      <w:r>
        <w:t>Ciljevi ove aktivnosti su: stvoriti motivirajuće uvjete za izbor pomorskog zvanja, omogućiti mladim pomorcima završetak obveznog obrazovnog procesa, koji je preduvjet za stjecanje časničkih zvanja, potaknuti hrvatske brodare na ukrcaj vježbenika izvan obveza brodara koji su uključeni u obvezu poreza po tonaži, smanjiti nezaposlenost u Republici Hrvatskoj, te povećati prihode u Državnom proračunu Republike Hrvatske.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vježbenika na brodu koji se subvencioniraju</w:t>
            </w:r>
          </w:p>
        </w:tc>
        <w:tc>
          <w:tcPr>
            <w:tcW w:w="2245" w:type="dxa"/>
            <w:vAlign w:val="top"/>
          </w:tcPr>
          <w:p w:rsidR="002E3202" w:rsidRDefault="00391FE7">
            <w:pPr>
              <w:pStyle w:val="CellColumn"/>
              <w:jc w:val="left"/>
            </w:pPr>
            <w:r>
              <w:rPr>
                <w:rFonts w:cs="Times New Roman"/>
              </w:rPr>
              <w:t>Ukrcavanjem vježbenika na brodove povećava se struktura stručno osposobljenih pomoraca</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300</w:t>
            </w:r>
          </w:p>
        </w:tc>
        <w:tc>
          <w:tcPr>
            <w:tcW w:w="918" w:type="dxa"/>
          </w:tcPr>
          <w:p w:rsidR="002E3202" w:rsidRDefault="00391FE7">
            <w:pPr>
              <w:jc w:val="center"/>
            </w:pPr>
            <w:r>
              <w:t>300</w:t>
            </w:r>
          </w:p>
        </w:tc>
        <w:tc>
          <w:tcPr>
            <w:tcW w:w="918" w:type="dxa"/>
          </w:tcPr>
          <w:p w:rsidR="002E3202" w:rsidRDefault="00391FE7">
            <w:pPr>
              <w:jc w:val="center"/>
            </w:pPr>
            <w:r>
              <w:t>300</w:t>
            </w:r>
          </w:p>
        </w:tc>
      </w:tr>
      <w:tr w:rsidR="002E3202">
        <w:trPr>
          <w:jc w:val="center"/>
        </w:trPr>
        <w:tc>
          <w:tcPr>
            <w:tcW w:w="2245" w:type="dxa"/>
            <w:vAlign w:val="top"/>
          </w:tcPr>
          <w:p w:rsidR="002E3202" w:rsidRDefault="00391FE7">
            <w:pPr>
              <w:pStyle w:val="CellColumn"/>
              <w:jc w:val="left"/>
            </w:pPr>
            <w:r>
              <w:rPr>
                <w:rFonts w:cs="Times New Roman"/>
              </w:rPr>
              <w:t>Broj dana koji su vježbenici proveli na brodu</w:t>
            </w:r>
          </w:p>
        </w:tc>
        <w:tc>
          <w:tcPr>
            <w:tcW w:w="2245" w:type="dxa"/>
            <w:vAlign w:val="top"/>
          </w:tcPr>
          <w:p w:rsidR="002E3202" w:rsidRDefault="00391FE7">
            <w:pPr>
              <w:pStyle w:val="CellColumn"/>
              <w:jc w:val="left"/>
            </w:pPr>
            <w:r>
              <w:rPr>
                <w:rFonts w:cs="Times New Roman"/>
              </w:rPr>
              <w:t>Ukrcavanjem vježbenika na brodove povećava se struktura stručno osposobljenih pomoraca</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35.000</w:t>
            </w:r>
          </w:p>
        </w:tc>
        <w:tc>
          <w:tcPr>
            <w:tcW w:w="918" w:type="dxa"/>
          </w:tcPr>
          <w:p w:rsidR="002E3202" w:rsidRDefault="00391FE7">
            <w:pPr>
              <w:jc w:val="center"/>
            </w:pPr>
            <w:r>
              <w:t>35.000</w:t>
            </w:r>
          </w:p>
        </w:tc>
        <w:tc>
          <w:tcPr>
            <w:tcW w:w="918" w:type="dxa"/>
          </w:tcPr>
          <w:p w:rsidR="002E3202" w:rsidRDefault="00391FE7">
            <w:pPr>
              <w:jc w:val="center"/>
            </w:pPr>
            <w:r>
              <w:t>35.000</w:t>
            </w:r>
          </w:p>
        </w:tc>
      </w:tr>
    </w:tbl>
    <w:p w:rsidR="002E3202" w:rsidRDefault="002E3202">
      <w:pPr>
        <w:jc w:val="left"/>
      </w:pPr>
    </w:p>
    <w:p w:rsidR="002E3202" w:rsidRDefault="00391FE7">
      <w:pPr>
        <w:pStyle w:val="Heading4"/>
      </w:pPr>
      <w:r>
        <w:t>A754044 PROMIDŽBA POMORSTVA REPUBLIKE HRVATSKE</w:t>
      </w:r>
    </w:p>
    <w:p w:rsidR="002E3202" w:rsidRDefault="00391FE7">
      <w:pPr>
        <w:pStyle w:val="Heading8"/>
        <w:jc w:val="left"/>
      </w:pPr>
      <w:r>
        <w:t>Zakonske i druge pravne osnove</w:t>
      </w:r>
    </w:p>
    <w:p w:rsidR="002E3202" w:rsidRDefault="00391FE7">
      <w:r>
        <w:t>- Strategija pomorskog razvitka i integralne pomorske politike Republike Hrvatske za razdoblje od 2014. do 2020. godine; Glava 5 .Jačanje pomorskih znanja i kulture</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A754044</w:t>
            </w:r>
          </w:p>
        </w:tc>
        <w:tc>
          <w:tcPr>
            <w:tcW w:w="1632" w:type="dxa"/>
            <w:vAlign w:val="top"/>
          </w:tcPr>
          <w:p w:rsidR="002E3202" w:rsidRDefault="00391FE7">
            <w:pPr>
              <w:jc w:val="right"/>
            </w:pPr>
            <w:r>
              <w:t>39.759</w:t>
            </w:r>
          </w:p>
        </w:tc>
        <w:tc>
          <w:tcPr>
            <w:tcW w:w="1632" w:type="dxa"/>
            <w:vAlign w:val="top"/>
          </w:tcPr>
          <w:p w:rsidR="002E3202" w:rsidRDefault="00391FE7">
            <w:pPr>
              <w:jc w:val="right"/>
            </w:pPr>
            <w:r>
              <w:t>61.337</w:t>
            </w:r>
          </w:p>
        </w:tc>
        <w:tc>
          <w:tcPr>
            <w:tcW w:w="1632" w:type="dxa"/>
            <w:vAlign w:val="top"/>
          </w:tcPr>
          <w:p w:rsidR="002E3202" w:rsidRDefault="00391FE7">
            <w:pPr>
              <w:jc w:val="right"/>
            </w:pPr>
            <w:r>
              <w:t>66.000</w:t>
            </w:r>
          </w:p>
        </w:tc>
        <w:tc>
          <w:tcPr>
            <w:tcW w:w="1632" w:type="dxa"/>
            <w:vAlign w:val="top"/>
          </w:tcPr>
          <w:p w:rsidR="002E3202" w:rsidRDefault="00391FE7">
            <w:pPr>
              <w:jc w:val="right"/>
            </w:pPr>
            <w:r>
              <w:t>66.000</w:t>
            </w:r>
          </w:p>
        </w:tc>
        <w:tc>
          <w:tcPr>
            <w:tcW w:w="1632" w:type="dxa"/>
            <w:vAlign w:val="top"/>
          </w:tcPr>
          <w:p w:rsidR="002E3202" w:rsidRDefault="00391FE7">
            <w:pPr>
              <w:jc w:val="right"/>
            </w:pPr>
            <w:r>
              <w:t>66.000</w:t>
            </w:r>
          </w:p>
        </w:tc>
        <w:tc>
          <w:tcPr>
            <w:tcW w:w="510" w:type="dxa"/>
            <w:vAlign w:val="top"/>
          </w:tcPr>
          <w:p w:rsidR="002E3202" w:rsidRDefault="00391FE7">
            <w:pPr>
              <w:jc w:val="right"/>
            </w:pPr>
            <w:r>
              <w:t>107,6</w:t>
            </w:r>
          </w:p>
        </w:tc>
      </w:tr>
    </w:tbl>
    <w:p w:rsidR="002E3202" w:rsidRDefault="002E3202">
      <w:pPr>
        <w:jc w:val="left"/>
      </w:pPr>
    </w:p>
    <w:p w:rsidR="002E3202" w:rsidRDefault="00391FE7">
      <w:r>
        <w:t xml:space="preserve">U sklopu manifestacije Dani hrvatskog pomorstva i unutarnje plovidbe, u 2024. godini, u organizaciji Ministarstva mora, prometa i infrastrukture, uz svečanu akademiju na kojoj se dodjeljuju nagrade i priznanja svima koji su dali poseban doprinos razvoju pomorstva i unutarnje plovidbe u Republici Hrvatskoj, planira se održati i Konferencija o pomorstvu i unutarnjoj plovidbi, o najaktualnijim temama iz područja pomorstva i unutarnje plovidbe, poput onih o ulaganju u lučku infrastrukturu, zaštiti morskog okoliša, brodarstva i problematici uređenja plovnih putova, u cilju razvoja lučke infrastrukture na unutarnjim plovnim putovima. Planirana proračunska sredstva za 2024. predviđena za Dane hrvatskog pomorstva i unutarnje plovidbe, u iznosu od 42.720 eura, planiraju se utrošiti za pripremu, organizaciju, provedbu i koordinaciju aktivnosti vezanih uz događanje.  </w:t>
      </w:r>
    </w:p>
    <w:p w:rsidR="002E3202" w:rsidRDefault="00391FE7">
      <w:r>
        <w:t xml:space="preserve">Preostali iznos planira se za marketinške vidljivosti pomorskog sektora na tržištu te suradnju pomorskog sektora s akademskom zajednicom i gospodarskim subjektima.  </w:t>
      </w:r>
    </w:p>
    <w:p w:rsidR="002E3202" w:rsidRDefault="00391FE7">
      <w:r>
        <w:t>Proračunska sredstava na ovoj aktivnosti planirana su i u projekcijama Proračuna RH za 2025. i 2026. godinu, budući da se ova manifestacija (nekadašnji Dan pomoraca-Sv. Nikola) održava redovito svake godine u organizaciji ovoga Ministarstva.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održanih konferencija</w:t>
            </w:r>
          </w:p>
        </w:tc>
        <w:tc>
          <w:tcPr>
            <w:tcW w:w="2245" w:type="dxa"/>
            <w:vAlign w:val="top"/>
          </w:tcPr>
          <w:p w:rsidR="002E3202" w:rsidRDefault="00391FE7">
            <w:pPr>
              <w:pStyle w:val="CellColumn"/>
              <w:jc w:val="left"/>
            </w:pPr>
            <w:r>
              <w:rPr>
                <w:rFonts w:cs="Times New Roman"/>
              </w:rPr>
              <w:t>Sudjelovanje na manifestaciji ima za cilj ukazivanje  na važnost hrvatskog pomorskog sektora na europskom i svjetskom tržištu</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w:t>
            </w:r>
          </w:p>
        </w:tc>
        <w:tc>
          <w:tcPr>
            <w:tcW w:w="918" w:type="dxa"/>
          </w:tcPr>
          <w:p w:rsidR="002E3202" w:rsidRDefault="00391FE7">
            <w:pPr>
              <w:jc w:val="center"/>
            </w:pPr>
            <w:r>
              <w:t>1</w:t>
            </w:r>
          </w:p>
        </w:tc>
        <w:tc>
          <w:tcPr>
            <w:tcW w:w="918" w:type="dxa"/>
          </w:tcPr>
          <w:p w:rsidR="002E3202" w:rsidRDefault="00391FE7">
            <w:pPr>
              <w:jc w:val="center"/>
            </w:pPr>
            <w:r>
              <w:t>1</w:t>
            </w:r>
          </w:p>
        </w:tc>
      </w:tr>
    </w:tbl>
    <w:p w:rsidR="002E3202" w:rsidRDefault="002E3202">
      <w:pPr>
        <w:jc w:val="left"/>
      </w:pPr>
    </w:p>
    <w:p w:rsidR="002E3202" w:rsidRDefault="00391FE7">
      <w:pPr>
        <w:pStyle w:val="Heading4"/>
      </w:pPr>
      <w:r>
        <w:t>A810040 PRIPREMA I PROVEDBA PROJEKATA U POMORSTVU</w:t>
      </w:r>
    </w:p>
    <w:p w:rsidR="002E3202" w:rsidRDefault="00391FE7">
      <w:pPr>
        <w:pStyle w:val="Heading8"/>
        <w:jc w:val="left"/>
      </w:pPr>
      <w:r>
        <w:t>Zakonske i druge pravne osnove</w:t>
      </w:r>
    </w:p>
    <w:p w:rsidR="002E3202" w:rsidRDefault="00391FE7">
      <w:r>
        <w:t xml:space="preserve">- Zakon o pomorskom dobru i morskim lukama </w:t>
      </w:r>
    </w:p>
    <w:p w:rsidR="002E3202" w:rsidRDefault="00391FE7">
      <w:r>
        <w:t xml:space="preserve">- Pomorski zakonik , članak 6., stavak 8.  </w:t>
      </w:r>
    </w:p>
    <w:p w:rsidR="002E3202" w:rsidRDefault="00391FE7">
      <w:r>
        <w:t xml:space="preserve">- Direktiva 2014/94/EU Europskog parlamenta i Vijeća od 22. listopada 2014. o uspostavi infrastrukture za alternativna goriva  </w:t>
      </w:r>
    </w:p>
    <w:p w:rsidR="002E3202" w:rsidRDefault="00391FE7">
      <w:r>
        <w:t xml:space="preserve">- Zakon o uspostavi infrastrukture za alternativna goriva  </w:t>
      </w:r>
    </w:p>
    <w:p w:rsidR="002E3202" w:rsidRDefault="00391FE7">
      <w:r>
        <w:t xml:space="preserve">- Nacionalni okvir politike za uspostavu infrastrukture i razvoj tržišta alternativnih goriva u prometu  </w:t>
      </w:r>
    </w:p>
    <w:p w:rsidR="002E3202" w:rsidRDefault="00391FE7">
      <w:r>
        <w:t xml:space="preserve">- Program Vlade Republike Hrvatske za razdoblje od 2020.-2024. godine </w:t>
      </w:r>
    </w:p>
    <w:p w:rsidR="002E3202" w:rsidRDefault="00391FE7">
      <w:r>
        <w:t>- Nacionalni plan razvoja obalnog linijskog pomorskog prometa do 2030. godine</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A810040</w:t>
            </w:r>
          </w:p>
        </w:tc>
        <w:tc>
          <w:tcPr>
            <w:tcW w:w="1632" w:type="dxa"/>
            <w:vAlign w:val="top"/>
          </w:tcPr>
          <w:p w:rsidR="002E3202" w:rsidRDefault="00391FE7">
            <w:pPr>
              <w:jc w:val="right"/>
            </w:pPr>
            <w:r>
              <w:t>55.400</w:t>
            </w:r>
          </w:p>
        </w:tc>
        <w:tc>
          <w:tcPr>
            <w:tcW w:w="1632" w:type="dxa"/>
            <w:vAlign w:val="top"/>
          </w:tcPr>
          <w:p w:rsidR="002E3202" w:rsidRDefault="00391FE7">
            <w:pPr>
              <w:jc w:val="right"/>
            </w:pPr>
            <w:r>
              <w:t>77.018</w:t>
            </w:r>
          </w:p>
        </w:tc>
        <w:tc>
          <w:tcPr>
            <w:tcW w:w="1632" w:type="dxa"/>
            <w:vAlign w:val="top"/>
          </w:tcPr>
          <w:p w:rsidR="002E3202" w:rsidRDefault="00391FE7">
            <w:pPr>
              <w:jc w:val="right"/>
            </w:pPr>
            <w:r>
              <w:t>171.873</w:t>
            </w:r>
          </w:p>
        </w:tc>
        <w:tc>
          <w:tcPr>
            <w:tcW w:w="1632" w:type="dxa"/>
            <w:vAlign w:val="top"/>
          </w:tcPr>
          <w:p w:rsidR="002E3202" w:rsidRDefault="00391FE7">
            <w:pPr>
              <w:jc w:val="right"/>
            </w:pPr>
            <w:r>
              <w:t>123.873</w:t>
            </w:r>
          </w:p>
        </w:tc>
        <w:tc>
          <w:tcPr>
            <w:tcW w:w="1632" w:type="dxa"/>
            <w:vAlign w:val="top"/>
          </w:tcPr>
          <w:p w:rsidR="002E3202" w:rsidRDefault="00391FE7">
            <w:pPr>
              <w:jc w:val="right"/>
            </w:pPr>
            <w:r>
              <w:t>123.873</w:t>
            </w:r>
          </w:p>
        </w:tc>
        <w:tc>
          <w:tcPr>
            <w:tcW w:w="510" w:type="dxa"/>
            <w:vAlign w:val="top"/>
          </w:tcPr>
          <w:p w:rsidR="002E3202" w:rsidRDefault="00391FE7">
            <w:pPr>
              <w:jc w:val="right"/>
            </w:pPr>
            <w:r>
              <w:t>223,2</w:t>
            </w:r>
          </w:p>
        </w:tc>
      </w:tr>
    </w:tbl>
    <w:p w:rsidR="002E3202" w:rsidRDefault="002E3202">
      <w:pPr>
        <w:jc w:val="left"/>
      </w:pPr>
    </w:p>
    <w:p w:rsidR="002E3202" w:rsidRDefault="00391FE7">
      <w:r>
        <w:t xml:space="preserve">Proračunska sredstva u ukupnom iznosu od 65.000 eura, koja su planirana u 2024. godini na ovoj aktivnosti, biti će namijenjena za angažiranje vanjskih suradnika prilikom izrade Strategije pomorskog razvitka i integralne pomorske politike za razdoblje od 2024.-2031. godine, Nacionalnog plana upravljanja i gospodarenja pomorskim dobrom i morskim lukama, kao i ostalih podzakonskih akata, koji se donose temeljem novog Zakona o pomorskom dobru i morskim lukama. Proračunska sredstva na ovoj aktivnosti u iznosu od 39.800 eura, planirana su i u projekcijama proračuna za 2025. i 2026. godinu, a planiraju se utrošiti za pružanje administrativne i tehničke pomoći djelatnicima koji će raditi na pripremi i provedbi novih projekata iz područja pomorstva i to u svrhu provedbe svih mjera koje su identificirane Nacionalnim planom razvoja obalnog linijskog pomorskog prometa do 2030. godine. </w:t>
      </w:r>
    </w:p>
    <w:p w:rsidR="002E3202" w:rsidRDefault="00391FE7">
      <w:r>
        <w:t xml:space="preserve">Dana 29. svibnja 2013. godine, Vlada RH je donijela Odluku o obavljanju poslova podrške sustavu nadzora potrošnje plinskog ulja za gospodarske i javne namjene u plovidbi, kojom je zadužila i Financijsku agenciju (FINA) za provedbu propisa te su Ministarstvo mora, prometa i infrastrukture i FINA sklopili Ugovor (br.1/2019.) o obavljanju poslova podrške sustavu nadzora potrošnje plinskog ulja za gospodarske i javne namjene u plovidbi, od 22. ožujka 2019. godine. </w:t>
      </w:r>
    </w:p>
    <w:p w:rsidR="002E3202" w:rsidRDefault="00391FE7">
      <w:r>
        <w:t xml:space="preserve">Sredstva u iznosu od 74.123 eura godišnje, planirana u Državnom proračunu RH za proračunsko razdoblje 2024.-2026. godine, namijenjena su za plaćanje obavljenih usluga Financijske agencije, Zagreb (FINA), vezano za izvršavanje Zakona o trošarinama (Narodne novine, broj 106/18 i 121/19) i Pravilnika o uvjetima i načinu oslobođenja od plaćanja trošarine na energente koji se koriste kao pogonsko gorivo za plovidbu (Narodne novine, broj  1/19).  </w:t>
      </w:r>
    </w:p>
    <w:p w:rsidR="002E3202" w:rsidRDefault="00391FE7">
      <w:r>
        <w:t>Računi Financijske agencije koji se mjesečno dostavljaju ovom Ministarstvu na naplatu, odnose se na plaćanje izvršene usluge programske podrške Sustavu nadzora potrošnje plinskog ulja za gospodarske i javne namjene u plovidbi, uz dostavljeni mjesečni izvještaj o istome.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Izrađena Strategija pomorskog razvitka i integralne pomorske politike RH za razdoblje 2024.-2031.</w:t>
            </w:r>
          </w:p>
        </w:tc>
        <w:tc>
          <w:tcPr>
            <w:tcW w:w="2245" w:type="dxa"/>
            <w:vAlign w:val="top"/>
          </w:tcPr>
          <w:p w:rsidR="002E3202" w:rsidRDefault="00391FE7">
            <w:pPr>
              <w:pStyle w:val="CellColumn"/>
              <w:jc w:val="left"/>
            </w:pPr>
            <w:r>
              <w:rPr>
                <w:rFonts w:cs="Times New Roman"/>
              </w:rPr>
              <w:t>Izrađenom Strategijom pomorskog razvitka i integralne pomorske politike RH za razdoblje 2024.-2031. pomorski sektor će dobiti nove strateške smjernice razvoja sukladno Zajedničkim politikama Europske Unije.</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0</w:t>
            </w:r>
          </w:p>
        </w:tc>
        <w:tc>
          <w:tcPr>
            <w:tcW w:w="918" w:type="dxa"/>
          </w:tcPr>
          <w:p w:rsidR="002E3202" w:rsidRDefault="00391FE7">
            <w:pPr>
              <w:jc w:val="center"/>
            </w:pPr>
            <w:r>
              <w:t>1</w:t>
            </w:r>
          </w:p>
        </w:tc>
        <w:tc>
          <w:tcPr>
            <w:tcW w:w="918" w:type="dxa"/>
          </w:tcPr>
          <w:p w:rsidR="002E3202" w:rsidRDefault="00391FE7">
            <w:pPr>
              <w:jc w:val="center"/>
            </w:pPr>
            <w:r>
              <w:t>0</w:t>
            </w:r>
          </w:p>
        </w:tc>
      </w:tr>
    </w:tbl>
    <w:p w:rsidR="002E3202" w:rsidRDefault="002E3202">
      <w:pPr>
        <w:jc w:val="left"/>
      </w:pPr>
    </w:p>
    <w:p w:rsidR="002E3202" w:rsidRDefault="00391FE7">
      <w:pPr>
        <w:pStyle w:val="Heading3"/>
      </w:pPr>
      <w:r>
        <w:rPr>
          <w:rFonts w:cs="Times New Roman"/>
        </w:rPr>
        <w:t>3118 RAZVOJ I SIGURNOST KOPNENOG PROMETA</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2E3202">
        <w:trPr>
          <w:jc w:val="center"/>
        </w:trPr>
        <w:tc>
          <w:tcPr>
            <w:tcW w:w="1530" w:type="dxa"/>
            <w:shd w:val="clear" w:color="auto" w:fill="B5C0D8"/>
          </w:tcPr>
          <w:p w:rsidR="002E3202" w:rsidRDefault="002E3202">
            <w:pPr>
              <w:pStyle w:val="CellHeader"/>
              <w:jc w:val="center"/>
            </w:pP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tcPr>
          <w:p w:rsidR="002E3202" w:rsidRDefault="00391FE7">
            <w:pPr>
              <w:pStyle w:val="CellColumn"/>
              <w:jc w:val="left"/>
            </w:pPr>
            <w:r>
              <w:rPr>
                <w:rFonts w:cs="Times New Roman"/>
              </w:rPr>
              <w:t>3118</w:t>
            </w:r>
          </w:p>
        </w:tc>
        <w:tc>
          <w:tcPr>
            <w:tcW w:w="1632" w:type="dxa"/>
          </w:tcPr>
          <w:p w:rsidR="002E3202" w:rsidRDefault="00391FE7">
            <w:pPr>
              <w:jc w:val="right"/>
            </w:pPr>
            <w:r>
              <w:t>166.806.390</w:t>
            </w:r>
          </w:p>
        </w:tc>
        <w:tc>
          <w:tcPr>
            <w:tcW w:w="1632" w:type="dxa"/>
          </w:tcPr>
          <w:p w:rsidR="002E3202" w:rsidRDefault="00391FE7">
            <w:pPr>
              <w:jc w:val="right"/>
            </w:pPr>
            <w:r>
              <w:t>209.978.420</w:t>
            </w:r>
          </w:p>
        </w:tc>
        <w:tc>
          <w:tcPr>
            <w:tcW w:w="1632" w:type="dxa"/>
          </w:tcPr>
          <w:p w:rsidR="002E3202" w:rsidRDefault="00391FE7">
            <w:pPr>
              <w:jc w:val="right"/>
            </w:pPr>
            <w:r>
              <w:t>217.377.306</w:t>
            </w:r>
          </w:p>
        </w:tc>
        <w:tc>
          <w:tcPr>
            <w:tcW w:w="1632" w:type="dxa"/>
          </w:tcPr>
          <w:p w:rsidR="002E3202" w:rsidRDefault="00391FE7">
            <w:pPr>
              <w:jc w:val="right"/>
            </w:pPr>
            <w:r>
              <w:t>211.707.871</w:t>
            </w:r>
          </w:p>
        </w:tc>
        <w:tc>
          <w:tcPr>
            <w:tcW w:w="1632" w:type="dxa"/>
          </w:tcPr>
          <w:p w:rsidR="002E3202" w:rsidRDefault="00391FE7">
            <w:pPr>
              <w:jc w:val="right"/>
            </w:pPr>
            <w:r>
              <w:t>245.309.854</w:t>
            </w:r>
          </w:p>
        </w:tc>
        <w:tc>
          <w:tcPr>
            <w:tcW w:w="510" w:type="dxa"/>
          </w:tcPr>
          <w:p w:rsidR="002E3202" w:rsidRDefault="00391FE7">
            <w:pPr>
              <w:jc w:val="right"/>
            </w:pPr>
            <w:r>
              <w:t>103,5</w:t>
            </w:r>
          </w:p>
        </w:tc>
      </w:tr>
    </w:tbl>
    <w:p w:rsidR="002E3202" w:rsidRDefault="002E3202">
      <w:pPr>
        <w:jc w:val="left"/>
      </w:pPr>
    </w:p>
    <w:p w:rsidR="002E3202" w:rsidRDefault="00391FE7">
      <w:pPr>
        <w:pStyle w:val="Heading8"/>
        <w:jc w:val="left"/>
      </w:pPr>
      <w:r>
        <w:t>Cilj 1. Osigurati pružanje kvalitetnije usluge željezničkim korisnicima kroz učinkovito upravljanje željezničkim sektorom</w:t>
      </w:r>
    </w:p>
    <w:p w:rsidR="002E3202" w:rsidRDefault="00391FE7">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učinka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Povećan (modalni) udio prijevoza tereta željeznicom u odnosu na ostale modalitete prijevoza</w:t>
            </w:r>
          </w:p>
        </w:tc>
        <w:tc>
          <w:tcPr>
            <w:tcW w:w="2245" w:type="dxa"/>
            <w:vAlign w:val="top"/>
          </w:tcPr>
          <w:p w:rsidR="002E3202" w:rsidRDefault="00391FE7">
            <w:pPr>
              <w:pStyle w:val="CellColumn"/>
              <w:jc w:val="left"/>
            </w:pPr>
            <w:r>
              <w:rPr>
                <w:rFonts w:cs="Times New Roman"/>
              </w:rPr>
              <w:t>Pružanje kvalitetnije usluge željezničkog prijevoza dovest će do povećanja teretnog prijevoza u odnosu na ostale modalitete na području RH</w:t>
            </w:r>
          </w:p>
        </w:tc>
        <w:tc>
          <w:tcPr>
            <w:tcW w:w="918" w:type="dxa"/>
          </w:tcPr>
          <w:p w:rsidR="002E3202" w:rsidRDefault="00391FE7">
            <w:pPr>
              <w:jc w:val="center"/>
            </w:pPr>
            <w:r>
              <w:t>%</w:t>
            </w:r>
          </w:p>
        </w:tc>
        <w:tc>
          <w:tcPr>
            <w:tcW w:w="918" w:type="dxa"/>
          </w:tcPr>
          <w:p w:rsidR="002E3202" w:rsidRDefault="00391FE7">
            <w:pPr>
              <w:jc w:val="center"/>
            </w:pPr>
            <w:r>
              <w:t>20,75</w:t>
            </w:r>
          </w:p>
        </w:tc>
        <w:tc>
          <w:tcPr>
            <w:tcW w:w="918" w:type="dxa"/>
          </w:tcPr>
          <w:p w:rsidR="002E3202" w:rsidRDefault="00391FE7">
            <w:pPr>
              <w:pStyle w:val="CellColumn"/>
              <w:jc w:val="center"/>
            </w:pPr>
            <w:r>
              <w:rPr>
                <w:rFonts w:cs="Times New Roman"/>
              </w:rPr>
              <w:t>Državni zavod za statistiku</w:t>
            </w:r>
          </w:p>
        </w:tc>
        <w:tc>
          <w:tcPr>
            <w:tcW w:w="918" w:type="dxa"/>
          </w:tcPr>
          <w:p w:rsidR="002E3202" w:rsidRDefault="00391FE7">
            <w:pPr>
              <w:jc w:val="center"/>
            </w:pPr>
            <w:r>
              <w:t>25,00</w:t>
            </w:r>
          </w:p>
        </w:tc>
        <w:tc>
          <w:tcPr>
            <w:tcW w:w="918" w:type="dxa"/>
          </w:tcPr>
          <w:p w:rsidR="002E3202" w:rsidRDefault="00391FE7">
            <w:pPr>
              <w:jc w:val="center"/>
            </w:pPr>
            <w:r>
              <w:t>25,25</w:t>
            </w:r>
          </w:p>
        </w:tc>
        <w:tc>
          <w:tcPr>
            <w:tcW w:w="918" w:type="dxa"/>
          </w:tcPr>
          <w:p w:rsidR="002E3202" w:rsidRDefault="00391FE7">
            <w:pPr>
              <w:jc w:val="center"/>
            </w:pPr>
            <w:r>
              <w:t>25,50</w:t>
            </w:r>
          </w:p>
        </w:tc>
      </w:tr>
      <w:tr w:rsidR="002E3202">
        <w:trPr>
          <w:jc w:val="center"/>
        </w:trPr>
        <w:tc>
          <w:tcPr>
            <w:tcW w:w="2245" w:type="dxa"/>
            <w:vAlign w:val="top"/>
          </w:tcPr>
          <w:p w:rsidR="002E3202" w:rsidRDefault="00391FE7">
            <w:pPr>
              <w:pStyle w:val="CellColumn"/>
              <w:jc w:val="left"/>
            </w:pPr>
            <w:r>
              <w:rPr>
                <w:rFonts w:cs="Times New Roman"/>
              </w:rPr>
              <w:t>Povećan broj putnika u željezničkom prijevozu u odnosu na druge oblike prijevoza</w:t>
            </w:r>
          </w:p>
        </w:tc>
        <w:tc>
          <w:tcPr>
            <w:tcW w:w="2245" w:type="dxa"/>
            <w:vAlign w:val="top"/>
          </w:tcPr>
          <w:p w:rsidR="002E3202" w:rsidRDefault="00391FE7">
            <w:pPr>
              <w:pStyle w:val="CellColumn"/>
              <w:jc w:val="left"/>
            </w:pPr>
            <w:r>
              <w:rPr>
                <w:rFonts w:cs="Times New Roman"/>
              </w:rPr>
              <w:t>Pružanje kvalitetnije usluge željezničkim korisnicima dovest će do povećanja broja putnika u odnosu na ostale oblike prijevoza na području RH</w:t>
            </w:r>
          </w:p>
        </w:tc>
        <w:tc>
          <w:tcPr>
            <w:tcW w:w="918" w:type="dxa"/>
          </w:tcPr>
          <w:p w:rsidR="002E3202" w:rsidRDefault="00391FE7">
            <w:pPr>
              <w:jc w:val="center"/>
            </w:pPr>
            <w:r>
              <w:t>broj</w:t>
            </w:r>
          </w:p>
        </w:tc>
        <w:tc>
          <w:tcPr>
            <w:tcW w:w="918" w:type="dxa"/>
          </w:tcPr>
          <w:p w:rsidR="002E3202" w:rsidRDefault="00391FE7">
            <w:pPr>
              <w:jc w:val="center"/>
            </w:pPr>
            <w:r>
              <w:t>18.591</w:t>
            </w:r>
          </w:p>
        </w:tc>
        <w:tc>
          <w:tcPr>
            <w:tcW w:w="918" w:type="dxa"/>
          </w:tcPr>
          <w:p w:rsidR="002E3202" w:rsidRDefault="00391FE7">
            <w:pPr>
              <w:pStyle w:val="CellColumn"/>
              <w:jc w:val="center"/>
            </w:pPr>
            <w:r>
              <w:rPr>
                <w:rFonts w:cs="Times New Roman"/>
              </w:rPr>
              <w:t>HŽPP</w:t>
            </w:r>
          </w:p>
        </w:tc>
        <w:tc>
          <w:tcPr>
            <w:tcW w:w="918" w:type="dxa"/>
          </w:tcPr>
          <w:p w:rsidR="002E3202" w:rsidRDefault="00391FE7">
            <w:pPr>
              <w:jc w:val="center"/>
            </w:pPr>
            <w:r>
              <w:t>21.500</w:t>
            </w:r>
          </w:p>
        </w:tc>
        <w:tc>
          <w:tcPr>
            <w:tcW w:w="918" w:type="dxa"/>
          </w:tcPr>
          <w:p w:rsidR="002E3202" w:rsidRDefault="00391FE7">
            <w:pPr>
              <w:jc w:val="center"/>
            </w:pPr>
            <w:r>
              <w:t>22.000</w:t>
            </w:r>
          </w:p>
        </w:tc>
        <w:tc>
          <w:tcPr>
            <w:tcW w:w="918" w:type="dxa"/>
          </w:tcPr>
          <w:p w:rsidR="002E3202" w:rsidRDefault="00391FE7">
            <w:pPr>
              <w:jc w:val="center"/>
            </w:pPr>
            <w:r>
              <w:t>22.500</w:t>
            </w:r>
          </w:p>
        </w:tc>
      </w:tr>
    </w:tbl>
    <w:p w:rsidR="002E3202" w:rsidRDefault="002E3202">
      <w:pPr>
        <w:jc w:val="left"/>
      </w:pPr>
    </w:p>
    <w:p w:rsidR="002E3202" w:rsidRDefault="00391FE7">
      <w:pPr>
        <w:pStyle w:val="Heading4"/>
      </w:pPr>
      <w:r>
        <w:t>A570334 UPRAVLJANJE, ORGANIZACIJA I REGULACIJA ŽELJEZNIČKOG PROMETA</w:t>
      </w:r>
    </w:p>
    <w:p w:rsidR="002E3202" w:rsidRDefault="00391FE7">
      <w:pPr>
        <w:pStyle w:val="Heading8"/>
        <w:jc w:val="left"/>
      </w:pPr>
      <w:r>
        <w:t>Zakonske i druge pravne osnove</w:t>
      </w:r>
    </w:p>
    <w:p w:rsidR="002E3202" w:rsidRDefault="00391FE7">
      <w:r>
        <w:t xml:space="preserve">- Zakon o željeznici članak, 19. stavak 1.   </w:t>
      </w:r>
    </w:p>
    <w:p w:rsidR="002E3202" w:rsidRDefault="00391FE7">
      <w:r>
        <w:t xml:space="preserve">- Strategija prometnog razvoja Republike Hrvatske (2017. – 2030.) </w:t>
      </w:r>
    </w:p>
    <w:p w:rsidR="002E3202" w:rsidRDefault="00391FE7">
      <w:r>
        <w:t>- Ugovor o upravljanju željezničkom infrastrukturom</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A570334</w:t>
            </w:r>
          </w:p>
        </w:tc>
        <w:tc>
          <w:tcPr>
            <w:tcW w:w="1632" w:type="dxa"/>
            <w:vAlign w:val="top"/>
          </w:tcPr>
          <w:p w:rsidR="002E3202" w:rsidRDefault="00391FE7">
            <w:pPr>
              <w:jc w:val="right"/>
            </w:pPr>
            <w:r>
              <w:t>70.475.811</w:t>
            </w:r>
          </w:p>
        </w:tc>
        <w:tc>
          <w:tcPr>
            <w:tcW w:w="1632" w:type="dxa"/>
            <w:vAlign w:val="top"/>
          </w:tcPr>
          <w:p w:rsidR="002E3202" w:rsidRDefault="00391FE7">
            <w:pPr>
              <w:jc w:val="right"/>
            </w:pPr>
            <w:r>
              <w:t>89.959.499</w:t>
            </w:r>
          </w:p>
        </w:tc>
        <w:tc>
          <w:tcPr>
            <w:tcW w:w="1632" w:type="dxa"/>
            <w:vAlign w:val="top"/>
          </w:tcPr>
          <w:p w:rsidR="002E3202" w:rsidRDefault="00391FE7">
            <w:pPr>
              <w:jc w:val="right"/>
            </w:pPr>
            <w:r>
              <w:t>62.000.000</w:t>
            </w:r>
          </w:p>
        </w:tc>
        <w:tc>
          <w:tcPr>
            <w:tcW w:w="1632" w:type="dxa"/>
            <w:vAlign w:val="top"/>
          </w:tcPr>
          <w:p w:rsidR="002E3202" w:rsidRDefault="00391FE7">
            <w:pPr>
              <w:jc w:val="right"/>
            </w:pPr>
            <w:r>
              <w:t>65.000.000</w:t>
            </w:r>
          </w:p>
        </w:tc>
        <w:tc>
          <w:tcPr>
            <w:tcW w:w="1632" w:type="dxa"/>
            <w:vAlign w:val="top"/>
          </w:tcPr>
          <w:p w:rsidR="002E3202" w:rsidRDefault="00391FE7">
            <w:pPr>
              <w:jc w:val="right"/>
            </w:pPr>
            <w:r>
              <w:t>65.000.000</w:t>
            </w:r>
          </w:p>
        </w:tc>
        <w:tc>
          <w:tcPr>
            <w:tcW w:w="510" w:type="dxa"/>
            <w:vAlign w:val="top"/>
          </w:tcPr>
          <w:p w:rsidR="002E3202" w:rsidRDefault="00391FE7">
            <w:pPr>
              <w:jc w:val="right"/>
            </w:pPr>
            <w:r>
              <w:t>68,9</w:t>
            </w:r>
          </w:p>
        </w:tc>
      </w:tr>
    </w:tbl>
    <w:p w:rsidR="002E3202" w:rsidRDefault="002E3202">
      <w:pPr>
        <w:jc w:val="left"/>
      </w:pPr>
    </w:p>
    <w:p w:rsidR="002E3202" w:rsidRDefault="00391FE7">
      <w:r>
        <w:t xml:space="preserve">Republika Hrvatska – Ministarstvo mora, prometa i infrastrukture i društvo HŽ Infrastruktura d.o.o. (u daljnjem tekstu: HŽI) za upravljanje, održavanje i izgradnju željezničke infrastrukture, sklapaju na godišnjoj razini Ugovor o upravljanju, organizaciji i regulaciji željezničkog prometa te je u pripremi izrada višegodišnjeg Ugovora o upravljanju, organizaciji i regulaciji željezničkog prometa. Na temelju zakonske regulative, planirana su sredstva iz državnog proračuna za podmirenje troškova upravljanja prometom, organizaciju i regulaciju željezničkog prometa te dijela upravljanja društvom HŽI. </w:t>
      </w:r>
    </w:p>
    <w:p w:rsidR="002E3202" w:rsidRDefault="00391FE7">
      <w:r>
        <w:t xml:space="preserve">Ova aktivnost provodi se svake godine. Tijekom 2024., 2025. i 2026. godine, prema društvu HŽI planirana su proračunska sredstva s ove aktivnosti kako slijedi: </w:t>
      </w:r>
    </w:p>
    <w:p w:rsidR="002E3202" w:rsidRDefault="00391FE7">
      <w:r>
        <w:t xml:space="preserve">- u 2024. godini ukupno 62.000.000 EUR za: </w:t>
      </w:r>
    </w:p>
    <w:p w:rsidR="002E3202" w:rsidRDefault="00391FE7">
      <w:r>
        <w:t xml:space="preserve">1. organizaciju i regulaciju željezničkog prometa: 51.000.000 EUR </w:t>
      </w:r>
    </w:p>
    <w:p w:rsidR="002E3202" w:rsidRDefault="00391FE7">
      <w:r>
        <w:t xml:space="preserve"> (procijenjeni troškovi radnika 47.000.000,00 EUR i obveze prema dobavljačima 4.000.000,00 EUR) </w:t>
      </w:r>
    </w:p>
    <w:p w:rsidR="002E3202" w:rsidRDefault="00391FE7">
      <w:r>
        <w:t xml:space="preserve">2. upravljanje društvom HŽI: 11.000.000 EUR (procijenjeni troškovi radnika 11.000.000,00 EUR) </w:t>
      </w:r>
    </w:p>
    <w:p w:rsidR="002E3202" w:rsidRDefault="00391FE7">
      <w:r>
        <w:t xml:space="preserve">- u 2025. i 2026. godini za: </w:t>
      </w:r>
    </w:p>
    <w:p w:rsidR="002E3202" w:rsidRDefault="00391FE7">
      <w:r>
        <w:t xml:space="preserve">1. organizaciju i regulaciju željezničkog prometa: 53.000.000,00 </w:t>
      </w:r>
    </w:p>
    <w:p w:rsidR="002E3202" w:rsidRDefault="00391FE7">
      <w:r>
        <w:t xml:space="preserve">2. upravljanje društvom HŽI: 12.000.000 EUR  </w:t>
      </w:r>
    </w:p>
    <w:p w:rsidR="002E3202" w:rsidRDefault="00391FE7">
      <w:r>
        <w:t>Planirani broj radnika koji se plaćaju s ove aktivnosti je 3.000.</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izvršenosti Ugovora</w:t>
            </w:r>
          </w:p>
        </w:tc>
        <w:tc>
          <w:tcPr>
            <w:tcW w:w="2245" w:type="dxa"/>
            <w:vAlign w:val="top"/>
          </w:tcPr>
          <w:p w:rsidR="002E3202" w:rsidRDefault="00391FE7">
            <w:pPr>
              <w:pStyle w:val="CellColumn"/>
              <w:jc w:val="left"/>
            </w:pPr>
            <w:r>
              <w:rPr>
                <w:rFonts w:cs="Times New Roman"/>
              </w:rPr>
              <w:t>Na temelju zakonske regulative planirana su sredstva iz državnog proračuna za podmirenje troškova upravljanja prometom, organizaciju i regulaciju željezničkog prometa</w:t>
            </w:r>
          </w:p>
        </w:tc>
        <w:tc>
          <w:tcPr>
            <w:tcW w:w="918" w:type="dxa"/>
          </w:tcPr>
          <w:p w:rsidR="002E3202" w:rsidRDefault="00391FE7">
            <w:pPr>
              <w:jc w:val="center"/>
            </w:pPr>
            <w:r>
              <w:t>%</w:t>
            </w:r>
          </w:p>
        </w:tc>
        <w:tc>
          <w:tcPr>
            <w:tcW w:w="918" w:type="dxa"/>
          </w:tcPr>
          <w:p w:rsidR="002E3202" w:rsidRDefault="00391FE7">
            <w:pPr>
              <w:jc w:val="center"/>
            </w:pPr>
            <w:r>
              <w:t>100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100</w:t>
            </w:r>
          </w:p>
        </w:tc>
        <w:tc>
          <w:tcPr>
            <w:tcW w:w="918" w:type="dxa"/>
          </w:tcPr>
          <w:p w:rsidR="002E3202" w:rsidRDefault="00391FE7">
            <w:pPr>
              <w:jc w:val="center"/>
            </w:pPr>
            <w:r>
              <w:t>100</w:t>
            </w:r>
          </w:p>
        </w:tc>
        <w:tc>
          <w:tcPr>
            <w:tcW w:w="918" w:type="dxa"/>
          </w:tcPr>
          <w:p w:rsidR="002E3202" w:rsidRDefault="00391FE7">
            <w:pPr>
              <w:jc w:val="center"/>
            </w:pPr>
            <w:r>
              <w:t>100</w:t>
            </w:r>
          </w:p>
        </w:tc>
      </w:tr>
    </w:tbl>
    <w:p w:rsidR="002E3202" w:rsidRDefault="002E3202">
      <w:pPr>
        <w:jc w:val="left"/>
      </w:pPr>
    </w:p>
    <w:p w:rsidR="002E3202" w:rsidRDefault="00391FE7">
      <w:pPr>
        <w:pStyle w:val="Heading4"/>
      </w:pPr>
      <w:r>
        <w:t>A570491 UNAPREĐENJE STRUKTURNIH REFORMI ŽELJEZNICE</w:t>
      </w:r>
    </w:p>
    <w:p w:rsidR="002E3202" w:rsidRDefault="00391FE7">
      <w:pPr>
        <w:pStyle w:val="Heading8"/>
        <w:jc w:val="left"/>
      </w:pPr>
      <w:r>
        <w:t>Zakonske i druge pravne osnove</w:t>
      </w:r>
    </w:p>
    <w:p w:rsidR="002E3202" w:rsidRDefault="00391FE7">
      <w:r>
        <w:t xml:space="preserve">- Zakon o potvrđivanju protokola od 3. lipnja 1999. godine o izmjenama Konvencije o međunarodnom željezničkom prijevozu (COTIF) od 9. svibnja 1980. godine svojim potpisom pristupila međunarodnoj organizaciji OTIF-u (funkcija Depozitarne uprave COTIF-a) članku 26.; </w:t>
      </w:r>
    </w:p>
    <w:p w:rsidR="002E3202" w:rsidRDefault="00391FE7">
      <w:r>
        <w:t xml:space="preserve">- Zakon o potvrđivanju (ratifikaciji) Fondacijskog ugovora o suradnji "Transeuropske željeznice (TER)"od 28. lipnja 1993. godine, koji je potpisan 21. srpnja 1993. godine </w:t>
      </w:r>
    </w:p>
    <w:p w:rsidR="002E3202" w:rsidRDefault="00391FE7">
      <w:r>
        <w:t xml:space="preserve">- Zakon o sigurnosti i interoperabilnosti željezničkog sustava  </w:t>
      </w:r>
    </w:p>
    <w:p w:rsidR="002E3202" w:rsidRDefault="00391FE7">
      <w:r>
        <w:t xml:space="preserve">- Zakon o regulaciji tržišta željezničkih usluga i zaštiti prava putnika u željezničkom prijevozu </w:t>
      </w:r>
    </w:p>
    <w:p w:rsidR="002E3202" w:rsidRDefault="00391FE7">
      <w:r>
        <w:t xml:space="preserve">- Zakon o sustavu strateškog planiranja i upravljanja razvojem Republike Hrvatske </w:t>
      </w:r>
    </w:p>
    <w:p w:rsidR="002E3202" w:rsidRDefault="00391FE7">
      <w:r>
        <w:t xml:space="preserve">- Strategija razvoja željezničkog sustava Republike Hrvatske do 2032. godine </w:t>
      </w:r>
    </w:p>
    <w:p w:rsidR="002E3202" w:rsidRDefault="00391FE7">
      <w:r>
        <w:t xml:space="preserve">- Nacionalni plan upravljanja željezničkom infrastrukturom i uslužnim objektima i razvoja usluga željezničkog prijevoza za razdoblje do 2030. godine </w:t>
      </w:r>
    </w:p>
    <w:p w:rsidR="002E3202" w:rsidRDefault="00391FE7">
      <w:r>
        <w:t xml:space="preserve">- Nacionalni plan razvoja željezničke infrastrukture za razdoblje do 2030. godine </w:t>
      </w:r>
    </w:p>
    <w:p w:rsidR="002E3202" w:rsidRDefault="00391FE7">
      <w:r>
        <w:t>- Program rješavanja željezničko-cestovnih i pješačkih prijelaza preko pruge za razdoblje od 2023. do 2027.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A570491</w:t>
            </w:r>
          </w:p>
        </w:tc>
        <w:tc>
          <w:tcPr>
            <w:tcW w:w="1632" w:type="dxa"/>
            <w:vAlign w:val="top"/>
          </w:tcPr>
          <w:p w:rsidR="002E3202" w:rsidRDefault="00391FE7">
            <w:pPr>
              <w:jc w:val="right"/>
            </w:pPr>
            <w:r>
              <w:t>242.120</w:t>
            </w:r>
          </w:p>
        </w:tc>
        <w:tc>
          <w:tcPr>
            <w:tcW w:w="1632" w:type="dxa"/>
            <w:vAlign w:val="top"/>
          </w:tcPr>
          <w:p w:rsidR="002E3202" w:rsidRDefault="00391FE7">
            <w:pPr>
              <w:jc w:val="right"/>
            </w:pPr>
            <w:r>
              <w:t>341.920</w:t>
            </w:r>
          </w:p>
        </w:tc>
        <w:tc>
          <w:tcPr>
            <w:tcW w:w="1632" w:type="dxa"/>
            <w:vAlign w:val="top"/>
          </w:tcPr>
          <w:p w:rsidR="002E3202" w:rsidRDefault="00391FE7">
            <w:pPr>
              <w:jc w:val="right"/>
            </w:pPr>
            <w:r>
              <w:t>744.204</w:t>
            </w:r>
          </w:p>
        </w:tc>
        <w:tc>
          <w:tcPr>
            <w:tcW w:w="1632" w:type="dxa"/>
            <w:vAlign w:val="top"/>
          </w:tcPr>
          <w:p w:rsidR="002E3202" w:rsidRDefault="00391FE7">
            <w:pPr>
              <w:jc w:val="right"/>
            </w:pPr>
            <w:r>
              <w:t>744.175</w:t>
            </w:r>
          </w:p>
        </w:tc>
        <w:tc>
          <w:tcPr>
            <w:tcW w:w="1632" w:type="dxa"/>
            <w:vAlign w:val="top"/>
          </w:tcPr>
          <w:p w:rsidR="002E3202" w:rsidRDefault="00391FE7">
            <w:pPr>
              <w:jc w:val="right"/>
            </w:pPr>
            <w:r>
              <w:t>736.158</w:t>
            </w:r>
          </w:p>
        </w:tc>
        <w:tc>
          <w:tcPr>
            <w:tcW w:w="510" w:type="dxa"/>
            <w:vAlign w:val="top"/>
          </w:tcPr>
          <w:p w:rsidR="002E3202" w:rsidRDefault="00391FE7">
            <w:pPr>
              <w:jc w:val="right"/>
            </w:pPr>
            <w:r>
              <w:t>217,7</w:t>
            </w:r>
          </w:p>
        </w:tc>
      </w:tr>
    </w:tbl>
    <w:p w:rsidR="002E3202" w:rsidRDefault="002E3202">
      <w:pPr>
        <w:jc w:val="left"/>
      </w:pPr>
    </w:p>
    <w:p w:rsidR="002E3202" w:rsidRDefault="00391FE7">
      <w:r>
        <w:t xml:space="preserve">Ova aktivnost provodi se svake godine sa sljedećim podaktivnostima:  </w:t>
      </w:r>
    </w:p>
    <w:p w:rsidR="002E3202" w:rsidRDefault="00391FE7">
      <w:r>
        <w:t xml:space="preserve">Na ovoj aktivnosti planiraju se sredstva kako slijedi: </w:t>
      </w:r>
    </w:p>
    <w:p w:rsidR="002E3202" w:rsidRDefault="00391FE7">
      <w:r>
        <w:t xml:space="preserve">1. službena putovanja; 2024. g.: 10.657 EUR, 2025. g.: 10.618 EUR, 2026. g.: 10.618 EUR  </w:t>
      </w:r>
    </w:p>
    <w:p w:rsidR="002E3202" w:rsidRDefault="00391FE7">
      <w:r>
        <w:t xml:space="preserve">2. stručno usavršavanje zaposlenika, u cilju više kvalitete rada Uprave za željezničku infrastrukturu i promet, 2024. g.: 5.200 EUR, 2025. g.: 5.200 EUR, 2026. g.: 5.200 EUR </w:t>
      </w:r>
    </w:p>
    <w:p w:rsidR="002E3202" w:rsidRDefault="00391FE7">
      <w:r>
        <w:t xml:space="preserve">3. usluge promidžbe i informiranja – organiziranje konferencija, stručnih skupova i događanja koja se dogovore na nivou EU u godišnjim iznosima do 13.272 EUR </w:t>
      </w:r>
    </w:p>
    <w:p w:rsidR="002E3202" w:rsidRDefault="00391FE7">
      <w:r>
        <w:t xml:space="preserve">4. intelektualne i osobne usluge - revizijske usluge Ugovora o javnim uslugama od općeg gospodarskog značenja, intelektualne usluge izrade dokumentacije u svrhu reforme željezničkog sektora, intelektualne usluge davanja pravnih mišljenja vezano za državne potpore, izrada prijedloga Ugovora o javnim uslugama od općeg gospodarskog značenja - PSO ugovor  (III. Dodatak Ugovoru br. 1/2019/DP-HŽPP o javnim uslugama za usluge od općeg gospodarskog interesa u javnom željezničkom prijevozu u Republici Hrvatskoj između Republike Hrvatske, Ministarstva mora, prometa i infrastrukture i društva HŽ Putnički prijevoz d.o.o. za prijevoz putnika za razdoblje od 01. siječnja 2019. godine do 31. prosinca 2028. godine), stručno-tehnička pomoć za izradu podzakonskih propisa koji proizlaze iz Zakona o sigurnosti i interoperabilnosti željezničkog sustava, ugovori o djelu (VSS i SSS) i studentski ugovori;  2024. g.: 398.168 EUR, 2025. g.: 398.168 EUR, 2026. g.: 398.168 EUR </w:t>
      </w:r>
    </w:p>
    <w:p w:rsidR="002E3202" w:rsidRDefault="00391FE7">
      <w:r>
        <w:t xml:space="preserve">5. računalne usluge – izrada Access baze podataka za praćenje javnih usluga; 2024. g.: 3.982 EUR, 2025. g.: 3.982 EUR, 2026. g.: 3.982 EUR </w:t>
      </w:r>
    </w:p>
    <w:p w:rsidR="002E3202" w:rsidRDefault="00391FE7">
      <w:r>
        <w:t xml:space="preserve">6. reprezentacija – vezano za organizaciju konferencija; 2024. g.: 6.636 EUR, 2025. g.: 6.636 EUR, 2026. g.: 6.636 EUR  </w:t>
      </w:r>
    </w:p>
    <w:p w:rsidR="002E3202" w:rsidRDefault="00391FE7">
      <w:r>
        <w:t xml:space="preserve">7. članarine i norme - Republika Hrvatska je na temelju Odluke i Zakona o potvrđivanju Protokola od 3. lipnja 1999. godine o izmjenama Konvencije o međunarodnom željezničkom prijevozu (COTIF) od 9. svibnja 1980. godine svojim potpisom pristupila međunarodnoj organizaciji OTIF-u (funkcija Depozitarne uprave COTIF-a). Sukladno članku 26. „Financiranje troškova“ Konvencije o međunarodnom željezničkom prijevozu (COTIF) od 9. svibnja 1980. godine u verziji Protokola o izmjenama od 3. lipnja 1999. godine kao država članica preuzela je prava i obveze te je dužna plaćati doprinos troškova organizacije.  </w:t>
      </w:r>
    </w:p>
    <w:p w:rsidR="002E3202" w:rsidRDefault="00391FE7">
      <w:r>
        <w:t xml:space="preserve">Osim navedenoga, na temelju Sporazuma sklopljenog između Republike Hrvatske i zemalja članica tj. Republika Hrvatska za Trans European Railway (TER) plaća godišnju članarinu u iznosu 10.000 USD. </w:t>
      </w:r>
    </w:p>
    <w:p w:rsidR="002E3202" w:rsidRDefault="00391FE7">
      <w:r>
        <w:t xml:space="preserve">Naknada OTIF-u i TER članarina se planiraju u ukupnom iznosu od 33.181 EUR na godišnjoj razini za potrebe članarina i normi.   </w:t>
      </w:r>
    </w:p>
    <w:p w:rsidR="002E3202" w:rsidRDefault="00391FE7">
      <w:r>
        <w:t xml:space="preserve">8. Licence, vezano uz baze podataka za praćenje javnih usluga;  2024. g.: 1.327 EUR, 2025. g.: do 1.327 EUR, 2026. g.: do 1.327 EUR  </w:t>
      </w:r>
    </w:p>
    <w:p w:rsidR="002E3202" w:rsidRDefault="00391FE7">
      <w:r>
        <w:t xml:space="preserve">9. Ostala nematerijalna imovina – studije za integrirani prijevoz putnika, izrada višegodišnjeg ugovora za upravljanje infrastrukturom, izrada studije za TLC (transportno logistički centar); 2024. g.: 270.755 EUR, 2025. g.: 270.755 EUR, 2026. g.: 262.738 EUR. </w:t>
      </w:r>
    </w:p>
    <w:p w:rsidR="002E3202" w:rsidRDefault="00391FE7">
      <w:r>
        <w:t>10. Ulaganja u računalne programe – vezano za računalne usluge, ažuriranje baze podataka za praćenje javnih usluga;  2024. g.: 1.026 EUR, 2025. g.: 1.036 EUR, 2026. g.: 1.036 EUR.</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sklopljenih ugovora u svrhu unapređenja strukturnih reformi željeznica</w:t>
            </w:r>
          </w:p>
        </w:tc>
        <w:tc>
          <w:tcPr>
            <w:tcW w:w="2245" w:type="dxa"/>
            <w:vAlign w:val="top"/>
          </w:tcPr>
          <w:p w:rsidR="002E3202" w:rsidRDefault="00391FE7">
            <w:pPr>
              <w:pStyle w:val="CellColumn"/>
              <w:jc w:val="left"/>
            </w:pPr>
            <w:r>
              <w:rPr>
                <w:rFonts w:cs="Times New Roman"/>
              </w:rPr>
              <w:t>Sklapanje ugovora pridonijeti će unapređenju željezničkog sektora</w:t>
            </w:r>
          </w:p>
        </w:tc>
        <w:tc>
          <w:tcPr>
            <w:tcW w:w="918" w:type="dxa"/>
          </w:tcPr>
          <w:p w:rsidR="002E3202" w:rsidRDefault="00391FE7">
            <w:pPr>
              <w:jc w:val="center"/>
            </w:pPr>
            <w:r>
              <w:t>broj</w:t>
            </w:r>
          </w:p>
        </w:tc>
        <w:tc>
          <w:tcPr>
            <w:tcW w:w="918" w:type="dxa"/>
          </w:tcPr>
          <w:p w:rsidR="002E3202" w:rsidRDefault="00391FE7">
            <w:pPr>
              <w:jc w:val="center"/>
            </w:pPr>
            <w:r>
              <w:t>2</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w:t>
            </w:r>
          </w:p>
        </w:tc>
        <w:tc>
          <w:tcPr>
            <w:tcW w:w="918" w:type="dxa"/>
          </w:tcPr>
          <w:p w:rsidR="002E3202" w:rsidRDefault="00391FE7">
            <w:pPr>
              <w:jc w:val="center"/>
            </w:pPr>
            <w:r>
              <w:t>1</w:t>
            </w:r>
          </w:p>
        </w:tc>
        <w:tc>
          <w:tcPr>
            <w:tcW w:w="918" w:type="dxa"/>
          </w:tcPr>
          <w:p w:rsidR="002E3202" w:rsidRDefault="00391FE7">
            <w:pPr>
              <w:jc w:val="center"/>
            </w:pPr>
            <w:r>
              <w:t>1</w:t>
            </w:r>
          </w:p>
        </w:tc>
      </w:tr>
    </w:tbl>
    <w:p w:rsidR="002E3202" w:rsidRDefault="002E3202">
      <w:pPr>
        <w:jc w:val="left"/>
      </w:pPr>
    </w:p>
    <w:p w:rsidR="002E3202" w:rsidRDefault="00391FE7">
      <w:pPr>
        <w:pStyle w:val="Heading4"/>
      </w:pPr>
      <w:r>
        <w:t>A587082 IZUZETO JAVNO DOBRO</w:t>
      </w:r>
    </w:p>
    <w:p w:rsidR="002E3202" w:rsidRDefault="00391FE7">
      <w:pPr>
        <w:pStyle w:val="Heading8"/>
        <w:jc w:val="left"/>
      </w:pPr>
      <w:r>
        <w:t>Zakonske i druge pravne osnove</w:t>
      </w:r>
    </w:p>
    <w:p w:rsidR="002E3202" w:rsidRDefault="00391FE7">
      <w:r>
        <w:t xml:space="preserve">- Zakon o podjeli trgovačkog društva HŽ-Hrvatske željeznice d.o.o. </w:t>
      </w:r>
    </w:p>
    <w:p w:rsidR="002E3202" w:rsidRDefault="00391FE7">
      <w:r>
        <w:t xml:space="preserve">- Odluka Vlade Republike Hrvatske o podjeli trgovačkog društva HŽ-Hrvatske željeznice d.o.o. od 6. srpnja 2006. godine, točka II. </w:t>
      </w:r>
    </w:p>
    <w:p w:rsidR="002E3202" w:rsidRDefault="00391FE7">
      <w:r>
        <w:t>- Plan podjele trgovačkog društva HŽ-Hrvatske željeznice d.o.o., točka 1.4.</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A587082</w:t>
            </w:r>
          </w:p>
        </w:tc>
        <w:tc>
          <w:tcPr>
            <w:tcW w:w="1632" w:type="dxa"/>
            <w:vAlign w:val="top"/>
          </w:tcPr>
          <w:p w:rsidR="002E3202" w:rsidRDefault="00391FE7">
            <w:pPr>
              <w:jc w:val="right"/>
            </w:pPr>
            <w:r>
              <w:t>14.547.929</w:t>
            </w:r>
          </w:p>
        </w:tc>
        <w:tc>
          <w:tcPr>
            <w:tcW w:w="1632" w:type="dxa"/>
            <w:vAlign w:val="top"/>
          </w:tcPr>
          <w:p w:rsidR="002E3202" w:rsidRDefault="00391FE7">
            <w:pPr>
              <w:jc w:val="right"/>
            </w:pPr>
            <w:r>
              <w:t>10.617.825</w:t>
            </w:r>
          </w:p>
        </w:tc>
        <w:tc>
          <w:tcPr>
            <w:tcW w:w="1632" w:type="dxa"/>
            <w:vAlign w:val="top"/>
          </w:tcPr>
          <w:p w:rsidR="002E3202" w:rsidRDefault="00391FE7">
            <w:pPr>
              <w:jc w:val="right"/>
            </w:pPr>
            <w:r>
              <w:t>10.617.825</w:t>
            </w:r>
          </w:p>
        </w:tc>
        <w:tc>
          <w:tcPr>
            <w:tcW w:w="1632" w:type="dxa"/>
            <w:vAlign w:val="top"/>
          </w:tcPr>
          <w:p w:rsidR="002E3202" w:rsidRDefault="00391FE7">
            <w:pPr>
              <w:jc w:val="right"/>
            </w:pPr>
            <w:r>
              <w:t>10.617.825</w:t>
            </w:r>
          </w:p>
        </w:tc>
        <w:tc>
          <w:tcPr>
            <w:tcW w:w="1632" w:type="dxa"/>
            <w:vAlign w:val="top"/>
          </w:tcPr>
          <w:p w:rsidR="002E3202" w:rsidRDefault="00391FE7">
            <w:pPr>
              <w:jc w:val="right"/>
            </w:pPr>
            <w:r>
              <w:t>10.617.825</w:t>
            </w:r>
          </w:p>
        </w:tc>
        <w:tc>
          <w:tcPr>
            <w:tcW w:w="510" w:type="dxa"/>
            <w:vAlign w:val="top"/>
          </w:tcPr>
          <w:p w:rsidR="002E3202" w:rsidRDefault="00391FE7">
            <w:pPr>
              <w:jc w:val="right"/>
            </w:pPr>
            <w:r>
              <w:t>100,0</w:t>
            </w:r>
          </w:p>
        </w:tc>
      </w:tr>
    </w:tbl>
    <w:p w:rsidR="002E3202" w:rsidRDefault="002E3202">
      <w:pPr>
        <w:jc w:val="left"/>
      </w:pPr>
    </w:p>
    <w:p w:rsidR="002E3202" w:rsidRDefault="00391FE7">
      <w:r>
        <w:t xml:space="preserve">Između Republike Hrvatske i društva HŽ Cargo d.o.o. sklopljena je Nagodba, koja se temelji na članku 2. stavku 2. Zakona o podjeli trgovačkog društva HŽ-Hrvatske željeznice d.o.o. (dalje: HŽ), točki II. Odluke Vlade Republike Hrvatske o podjeli trgovačkog društva HŽ, od 6. srpnja 2006. godine te točki 1.4. Plana podjele trgovačkog društva HŽ s namjerom da se društvu HŽ Cargo namiri manje preneseni temeljni kapital na ime ulaganja u javno dobro (kao nadoknada uloženih vlastitih sredstava iz temeljnog kapitala), a na što društvo HŽ Cargo ima pravo, kao pravni sljednik društva HŽ. </w:t>
      </w:r>
    </w:p>
    <w:p w:rsidR="002E3202" w:rsidRDefault="00391FE7">
      <w:r>
        <w:t>Donošenjem spomenute Nagodbe, Ministarstvo mora, prometa i infrastrukture, u ime Republike Hrvatske obvezalo se u razdoblju od 2022. do 2027. godine namiriti potraživanje društva HŽ Cargo d.o.o. za manje preneseni temeljni kapital na ime ulaganja u javno dobro u ukupnom iznosu od  67.863.604,58 EUR. Na temelju toga će se sa ove stavke u razdoblju od 2024. godine do 2026. godine financirati preuzimanje potraživanja, odnosno dospjele obveze društva HŽ Cargo, a što se odnosi na dug društva HŽ Cargo prema društvu HŽ Infrastruktura d.o.o.. Ukupan iznos preuzetih obveza Republike Hrvatske za usuglašeni dug društva HŽ Cargo društvu HŽ Infrastruktura u cijelosti iznosi 53.315.675,84 EUR, dok će se u razdoblju od 2024. do 2026. godine s ove stavke ukupno isplatiti 31.853.474,01 EUR i to slijedećom dinamikom plaćanja: do 31. siječnja 2024. godine 10.617.824,67 EUR, do 31. siječnja 2025. godine 10.617.824,67 EUR i do 31. siječnja 2026. godine 10.617.824,67 EUR. Sva plaćanja provodit će se sukladno Sporazumu o usuglašenom dugu između Republike Hrvatske, društava HŽ Cargo i HŽ Infrastruktura.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Isplaćena sredstva društvu HŽ INFRASTRUKTURA d.o.o. na ime Nagodbe između RH i društva HŽ CARGO d.o.o.</w:t>
            </w:r>
          </w:p>
        </w:tc>
        <w:tc>
          <w:tcPr>
            <w:tcW w:w="2245" w:type="dxa"/>
            <w:vAlign w:val="top"/>
          </w:tcPr>
          <w:p w:rsidR="002E3202" w:rsidRDefault="00391FE7">
            <w:pPr>
              <w:pStyle w:val="CellColumn"/>
              <w:jc w:val="left"/>
            </w:pPr>
            <w:r>
              <w:rPr>
                <w:rFonts w:cs="Times New Roman"/>
              </w:rPr>
              <w:t>Udio isplaćenih sredstava u odnosu na ukupan iznos preuzetog potraživanja od strane RH, a vezano za dug društva HŽ CARGO d.o.o. prema društvu HŽ INFRASTRUKTURA d.o.o. na temelju Nagodbe, a koje plaća MMPI</w:t>
            </w:r>
          </w:p>
        </w:tc>
        <w:tc>
          <w:tcPr>
            <w:tcW w:w="918" w:type="dxa"/>
          </w:tcPr>
          <w:p w:rsidR="002E3202" w:rsidRDefault="00391FE7">
            <w:pPr>
              <w:jc w:val="center"/>
            </w:pPr>
            <w:r>
              <w:t>%</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19,92</w:t>
            </w:r>
          </w:p>
        </w:tc>
        <w:tc>
          <w:tcPr>
            <w:tcW w:w="918" w:type="dxa"/>
          </w:tcPr>
          <w:p w:rsidR="002E3202" w:rsidRDefault="00391FE7">
            <w:pPr>
              <w:jc w:val="center"/>
            </w:pPr>
            <w:r>
              <w:t>19,92</w:t>
            </w:r>
          </w:p>
        </w:tc>
        <w:tc>
          <w:tcPr>
            <w:tcW w:w="918" w:type="dxa"/>
          </w:tcPr>
          <w:p w:rsidR="002E3202" w:rsidRDefault="00391FE7">
            <w:pPr>
              <w:jc w:val="center"/>
            </w:pPr>
            <w:r>
              <w:t>19,92</w:t>
            </w:r>
          </w:p>
        </w:tc>
      </w:tr>
    </w:tbl>
    <w:p w:rsidR="002E3202" w:rsidRDefault="002E3202">
      <w:pPr>
        <w:jc w:val="left"/>
      </w:pPr>
    </w:p>
    <w:p w:rsidR="002E3202" w:rsidRDefault="00391FE7">
      <w:pPr>
        <w:pStyle w:val="Heading4"/>
      </w:pPr>
      <w:r>
        <w:t>A754064 POTICAJI U KOMBINIRANOM PRIJEVOZU TERETA</w:t>
      </w:r>
    </w:p>
    <w:p w:rsidR="002E3202" w:rsidRDefault="00391FE7">
      <w:pPr>
        <w:pStyle w:val="Heading8"/>
        <w:jc w:val="left"/>
      </w:pPr>
      <w:r>
        <w:t>Zakonske i druge pravne osnove</w:t>
      </w:r>
    </w:p>
    <w:p w:rsidR="002E3202" w:rsidRDefault="00391FE7">
      <w:r>
        <w:t xml:space="preserve">- Zakon o kombiniranom prijevozu tereta </w:t>
      </w:r>
    </w:p>
    <w:p w:rsidR="002E3202" w:rsidRDefault="00391FE7">
      <w:r>
        <w:t xml:space="preserve">- Pravilnik o poticajima u kombiniranom prijevozu tereta, članak 4. i 5. </w:t>
      </w:r>
    </w:p>
    <w:p w:rsidR="002E3202" w:rsidRDefault="00391FE7">
      <w:r>
        <w:t>- Zakon o državnim potporama</w:t>
      </w:r>
    </w:p>
    <w:tbl>
      <w:tblPr>
        <w:tblStyle w:val="StilTablice"/>
        <w:tblW w:w="10206" w:type="dxa"/>
        <w:jc w:val="center"/>
        <w:tblLook w:val="04A0" w:firstRow="1" w:lastRow="0" w:firstColumn="1" w:lastColumn="0" w:noHBand="0" w:noVBand="1"/>
      </w:tblPr>
      <w:tblGrid>
        <w:gridCol w:w="1477"/>
        <w:gridCol w:w="1566"/>
        <w:gridCol w:w="1542"/>
        <w:gridCol w:w="1550"/>
        <w:gridCol w:w="1559"/>
        <w:gridCol w:w="1542"/>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A754064</w:t>
            </w:r>
          </w:p>
        </w:tc>
        <w:tc>
          <w:tcPr>
            <w:tcW w:w="1632" w:type="dxa"/>
            <w:vAlign w:val="top"/>
          </w:tcPr>
          <w:p w:rsidR="002E3202" w:rsidRDefault="00391FE7">
            <w:pPr>
              <w:jc w:val="right"/>
            </w:pPr>
            <w:r>
              <w:t>1.053</w:t>
            </w:r>
          </w:p>
        </w:tc>
        <w:tc>
          <w:tcPr>
            <w:tcW w:w="1632" w:type="dxa"/>
            <w:vAlign w:val="top"/>
          </w:tcPr>
          <w:p w:rsidR="002E3202" w:rsidRDefault="00391FE7">
            <w:pPr>
              <w:jc w:val="right"/>
            </w:pPr>
            <w:r>
              <w:t>00</w:t>
            </w:r>
          </w:p>
        </w:tc>
        <w:tc>
          <w:tcPr>
            <w:tcW w:w="1632" w:type="dxa"/>
            <w:vAlign w:val="top"/>
          </w:tcPr>
          <w:p w:rsidR="002E3202" w:rsidRDefault="00391FE7">
            <w:pPr>
              <w:jc w:val="right"/>
            </w:pPr>
            <w:r>
              <w:t>92.000</w:t>
            </w:r>
          </w:p>
        </w:tc>
        <w:tc>
          <w:tcPr>
            <w:tcW w:w="1632" w:type="dxa"/>
            <w:vAlign w:val="top"/>
          </w:tcPr>
          <w:p w:rsidR="002E3202" w:rsidRDefault="00391FE7">
            <w:pPr>
              <w:jc w:val="right"/>
            </w:pPr>
            <w:r>
              <w:t>190.000</w:t>
            </w:r>
          </w:p>
        </w:tc>
        <w:tc>
          <w:tcPr>
            <w:tcW w:w="1632" w:type="dxa"/>
            <w:vAlign w:val="top"/>
          </w:tcPr>
          <w:p w:rsidR="002E3202" w:rsidRDefault="00391FE7">
            <w:pPr>
              <w:jc w:val="right"/>
            </w:pPr>
            <w:r>
              <w:t>00</w:t>
            </w:r>
          </w:p>
        </w:tc>
        <w:tc>
          <w:tcPr>
            <w:tcW w:w="510" w:type="dxa"/>
            <w:vAlign w:val="top"/>
          </w:tcPr>
          <w:p w:rsidR="002E3202" w:rsidRDefault="00391FE7">
            <w:pPr>
              <w:jc w:val="right"/>
            </w:pPr>
            <w:r>
              <w:t>0,0</w:t>
            </w:r>
          </w:p>
        </w:tc>
      </w:tr>
    </w:tbl>
    <w:p w:rsidR="002E3202" w:rsidRDefault="002E3202">
      <w:pPr>
        <w:jc w:val="left"/>
      </w:pPr>
    </w:p>
    <w:p w:rsidR="002E3202" w:rsidRDefault="00391FE7">
      <w:r>
        <w:t>Prethodno važeći Program državne potpore za kombinirani prijevoz tereta odobren je od Europske komisije za razdoblje od 5 godina i vrijedio je do 31. prosinca 2022. godine. Ministarstvo mora, prometa i infrastrukture planira u razdoblju od 2024. – 2026. godine također poticati kombinirani prijevoz tereta te će se pristupiti izradi novog Programa državne potpore za kombinirani prijevoz tereta i odobravanju od strane Europske komisije.</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odobrenih i plaćenih zahtjeva</w:t>
            </w:r>
          </w:p>
        </w:tc>
        <w:tc>
          <w:tcPr>
            <w:tcW w:w="2245" w:type="dxa"/>
            <w:vAlign w:val="top"/>
          </w:tcPr>
          <w:p w:rsidR="002E3202" w:rsidRDefault="00391FE7">
            <w:pPr>
              <w:pStyle w:val="CellColumn"/>
              <w:jc w:val="left"/>
            </w:pPr>
            <w:r>
              <w:rPr>
                <w:rFonts w:cs="Times New Roman"/>
              </w:rPr>
              <w:t>Provođenje mjera poticaja na temelju Zakona i Pravilnika o kombiniranom prijevozu, rasti će broj prevezenih ITU jedinica</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7</w:t>
            </w:r>
          </w:p>
        </w:tc>
        <w:tc>
          <w:tcPr>
            <w:tcW w:w="918" w:type="dxa"/>
          </w:tcPr>
          <w:p w:rsidR="002E3202" w:rsidRDefault="00391FE7">
            <w:pPr>
              <w:jc w:val="center"/>
            </w:pPr>
            <w:r>
              <w:t>7</w:t>
            </w:r>
          </w:p>
        </w:tc>
        <w:tc>
          <w:tcPr>
            <w:tcW w:w="918" w:type="dxa"/>
          </w:tcPr>
          <w:p w:rsidR="002E3202" w:rsidRDefault="00391FE7">
            <w:pPr>
              <w:jc w:val="center"/>
            </w:pPr>
            <w:r>
              <w:t>7</w:t>
            </w:r>
          </w:p>
        </w:tc>
      </w:tr>
    </w:tbl>
    <w:p w:rsidR="002E3202" w:rsidRDefault="002E3202">
      <w:pPr>
        <w:jc w:val="left"/>
      </w:pPr>
    </w:p>
    <w:p w:rsidR="002E3202" w:rsidRDefault="00391FE7">
      <w:pPr>
        <w:pStyle w:val="Heading4"/>
      </w:pPr>
      <w:r>
        <w:t>A754066 SUFINANCIRANJE IZDAVANJA LICENCIJA INŽENJERIMA TEHNOLOGIJE PROMETA I TRANSPORTA</w:t>
      </w:r>
    </w:p>
    <w:p w:rsidR="002E3202" w:rsidRDefault="00391FE7">
      <w:pPr>
        <w:pStyle w:val="Heading8"/>
        <w:jc w:val="left"/>
      </w:pPr>
      <w:r>
        <w:t>Zakonske i druge pravne osnove</w:t>
      </w:r>
    </w:p>
    <w:p w:rsidR="002E3202" w:rsidRDefault="00391FE7">
      <w:r>
        <w:t xml:space="preserve">- Zakon o Hrvatskoj komori inženjera tehnologije prometa i transporta, članak 29., stavak 1. i 2.  </w:t>
      </w:r>
    </w:p>
    <w:p w:rsidR="002E3202" w:rsidRDefault="00391FE7">
      <w:r>
        <w:t>- Zakon o proračunu</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A754066</w:t>
            </w:r>
          </w:p>
        </w:tc>
        <w:tc>
          <w:tcPr>
            <w:tcW w:w="1632" w:type="dxa"/>
            <w:vAlign w:val="top"/>
          </w:tcPr>
          <w:p w:rsidR="002E3202" w:rsidRDefault="00391FE7">
            <w:pPr>
              <w:jc w:val="right"/>
            </w:pPr>
            <w:r>
              <w:t>00</w:t>
            </w:r>
          </w:p>
        </w:tc>
        <w:tc>
          <w:tcPr>
            <w:tcW w:w="1632" w:type="dxa"/>
            <w:vAlign w:val="top"/>
          </w:tcPr>
          <w:p w:rsidR="002E3202" w:rsidRDefault="00391FE7">
            <w:pPr>
              <w:jc w:val="right"/>
            </w:pPr>
            <w:r>
              <w:t>1.327</w:t>
            </w:r>
          </w:p>
        </w:tc>
        <w:tc>
          <w:tcPr>
            <w:tcW w:w="1632" w:type="dxa"/>
            <w:vAlign w:val="top"/>
          </w:tcPr>
          <w:p w:rsidR="002E3202" w:rsidRDefault="00391FE7">
            <w:pPr>
              <w:jc w:val="right"/>
            </w:pPr>
            <w:r>
              <w:t>1.327</w:t>
            </w:r>
          </w:p>
        </w:tc>
        <w:tc>
          <w:tcPr>
            <w:tcW w:w="1632" w:type="dxa"/>
            <w:vAlign w:val="top"/>
          </w:tcPr>
          <w:p w:rsidR="002E3202" w:rsidRDefault="00391FE7">
            <w:pPr>
              <w:jc w:val="right"/>
            </w:pPr>
            <w:r>
              <w:t>1.300</w:t>
            </w:r>
          </w:p>
        </w:tc>
        <w:tc>
          <w:tcPr>
            <w:tcW w:w="1632" w:type="dxa"/>
            <w:vAlign w:val="top"/>
          </w:tcPr>
          <w:p w:rsidR="002E3202" w:rsidRDefault="00391FE7">
            <w:pPr>
              <w:jc w:val="right"/>
            </w:pPr>
            <w:r>
              <w:t>1.300</w:t>
            </w:r>
          </w:p>
        </w:tc>
        <w:tc>
          <w:tcPr>
            <w:tcW w:w="510" w:type="dxa"/>
            <w:vAlign w:val="top"/>
          </w:tcPr>
          <w:p w:rsidR="002E3202" w:rsidRDefault="00391FE7">
            <w:pPr>
              <w:jc w:val="right"/>
            </w:pPr>
            <w:r>
              <w:t>100,0</w:t>
            </w:r>
          </w:p>
        </w:tc>
      </w:tr>
    </w:tbl>
    <w:p w:rsidR="002E3202" w:rsidRDefault="002E3202">
      <w:pPr>
        <w:jc w:val="left"/>
      </w:pPr>
    </w:p>
    <w:p w:rsidR="002E3202" w:rsidRDefault="00391FE7">
      <w:r>
        <w:t xml:space="preserve">Provedba ove aktivnosti započela je u 2019. godini. Na temelju članka 29., stavak 1. i 2. Zakona o Hrvatskoj komori inženjera tehnologije prometa i transporta dodjeljuju se sredstva iz državnog proračuna Republike Hrvatske Hrvatskoj komori inženjera tehnologije prometa i transporta za izvršavanje poslova koje Komora obavlja kao pravna osoba s javnim ovlastima. U izradi je izmjena Zakona o Hrvatskoj komori inženjera tehnologije prometa i transporta i Pravilnika o stručnim ispitima inženjera tehnologije prometa i transporta.  </w:t>
      </w:r>
    </w:p>
    <w:p w:rsidR="002E3202" w:rsidRDefault="00391FE7">
      <w:r>
        <w:t>U budućem razdoblju se planira sufinanciranje dijela troškova poslova Komore iz državnog proračuna.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71"/>
        <w:gridCol w:w="2270"/>
        <w:gridCol w:w="928"/>
        <w:gridCol w:w="928"/>
        <w:gridCol w:w="1025"/>
        <w:gridCol w:w="928"/>
        <w:gridCol w:w="928"/>
        <w:gridCol w:w="928"/>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izdanih ovlaštenja</w:t>
            </w:r>
          </w:p>
        </w:tc>
        <w:tc>
          <w:tcPr>
            <w:tcW w:w="2245" w:type="dxa"/>
            <w:vAlign w:val="top"/>
          </w:tcPr>
          <w:p w:rsidR="002E3202" w:rsidRDefault="00391FE7">
            <w:pPr>
              <w:pStyle w:val="CellColumn"/>
              <w:jc w:val="left"/>
            </w:pPr>
            <w:r>
              <w:rPr>
                <w:rFonts w:cs="Times New Roman"/>
              </w:rPr>
              <w:t>Na temelju Zakona o Hrvatskoj komori inženjera tehnologije prometa i transporta isplaćuju se novčana sredstva za izdana ovlaštenja</w:t>
            </w:r>
          </w:p>
        </w:tc>
        <w:tc>
          <w:tcPr>
            <w:tcW w:w="918" w:type="dxa"/>
          </w:tcPr>
          <w:p w:rsidR="002E3202" w:rsidRDefault="00391FE7">
            <w:pPr>
              <w:jc w:val="center"/>
            </w:pPr>
            <w:r>
              <w:t>broj</w:t>
            </w:r>
          </w:p>
        </w:tc>
        <w:tc>
          <w:tcPr>
            <w:tcW w:w="918" w:type="dxa"/>
          </w:tcPr>
          <w:p w:rsidR="002E3202" w:rsidRDefault="00391FE7">
            <w:pPr>
              <w:jc w:val="center"/>
            </w:pPr>
            <w:r>
              <w:t>25</w:t>
            </w:r>
          </w:p>
        </w:tc>
        <w:tc>
          <w:tcPr>
            <w:tcW w:w="918" w:type="dxa"/>
          </w:tcPr>
          <w:p w:rsidR="002E3202" w:rsidRDefault="00391FE7">
            <w:pPr>
              <w:pStyle w:val="CellColumn"/>
              <w:jc w:val="center"/>
            </w:pPr>
            <w:r>
              <w:rPr>
                <w:rFonts w:cs="Times New Roman"/>
              </w:rPr>
              <w:t>Hrvatska komora inženjera i tehnologije prometa i transporta</w:t>
            </w:r>
          </w:p>
        </w:tc>
        <w:tc>
          <w:tcPr>
            <w:tcW w:w="918" w:type="dxa"/>
          </w:tcPr>
          <w:p w:rsidR="002E3202" w:rsidRDefault="00391FE7">
            <w:pPr>
              <w:jc w:val="center"/>
            </w:pPr>
            <w:r>
              <w:t>25</w:t>
            </w:r>
          </w:p>
        </w:tc>
        <w:tc>
          <w:tcPr>
            <w:tcW w:w="918" w:type="dxa"/>
          </w:tcPr>
          <w:p w:rsidR="002E3202" w:rsidRDefault="00391FE7">
            <w:pPr>
              <w:jc w:val="center"/>
            </w:pPr>
            <w:r>
              <w:t>25</w:t>
            </w:r>
          </w:p>
        </w:tc>
        <w:tc>
          <w:tcPr>
            <w:tcW w:w="918" w:type="dxa"/>
          </w:tcPr>
          <w:p w:rsidR="002E3202" w:rsidRDefault="00391FE7">
            <w:pPr>
              <w:jc w:val="center"/>
            </w:pPr>
            <w:r>
              <w:t>25</w:t>
            </w:r>
          </w:p>
        </w:tc>
      </w:tr>
    </w:tbl>
    <w:p w:rsidR="002E3202" w:rsidRDefault="002E3202">
      <w:pPr>
        <w:jc w:val="left"/>
      </w:pPr>
    </w:p>
    <w:p w:rsidR="002E3202" w:rsidRDefault="00391FE7">
      <w:pPr>
        <w:pStyle w:val="Heading4"/>
      </w:pPr>
      <w:r>
        <w:t>A761011 POTICANJE ŽELJEZNIČKOG PUTNIČKOG PRIJEVOZA</w:t>
      </w:r>
    </w:p>
    <w:p w:rsidR="002E3202" w:rsidRDefault="00391FE7">
      <w:pPr>
        <w:pStyle w:val="Heading8"/>
        <w:jc w:val="left"/>
      </w:pPr>
      <w:r>
        <w:t>Zakonske i druge pravne osnove</w:t>
      </w:r>
    </w:p>
    <w:p w:rsidR="002E3202" w:rsidRDefault="00391FE7">
      <w:r>
        <w:t xml:space="preserve">- Zakon o željeznici  </w:t>
      </w:r>
    </w:p>
    <w:p w:rsidR="002E3202" w:rsidRDefault="00391FE7">
      <w:r>
        <w:t xml:space="preserve">- Zakon o sigurnosti i interoperabilnosti željezničkog sustava  </w:t>
      </w:r>
    </w:p>
    <w:p w:rsidR="002E3202" w:rsidRDefault="00391FE7">
      <w:r>
        <w:t xml:space="preserve">- Zakon o regulaciji tržišta željezničkih usluga i zaštiti prava putnika u željezničkom prijevozu  </w:t>
      </w:r>
    </w:p>
    <w:p w:rsidR="002E3202" w:rsidRDefault="00391FE7">
      <w:r>
        <w:t xml:space="preserve">- Zakon o državnim potporama  </w:t>
      </w:r>
    </w:p>
    <w:p w:rsidR="002E3202" w:rsidRDefault="00391FE7">
      <w:r>
        <w:t xml:space="preserve">- Zakon o proračunu  </w:t>
      </w:r>
    </w:p>
    <w:p w:rsidR="002E3202" w:rsidRDefault="00391FE7">
      <w:r>
        <w:t xml:space="preserve">- Uredba (EZ) br. 1370/2007 o uslugama javnog željezničkog i cestovnog prijevoza    </w:t>
      </w:r>
    </w:p>
    <w:p w:rsidR="002E3202" w:rsidRDefault="00391FE7">
      <w:r>
        <w:t xml:space="preserve">- Uredba (EU) 2016/2338 Europskog parlamenta i Vijeća od 14. prosinca 2016. godine o izmjeni Uredbe (EZ) br. 1370/2007 u pogledu otvaranja tržišta za usluge domaćeg željezničkog prijevoza putnika (Tekst značajan za EGP ) (SL L 354, 23.12.2016.)   </w:t>
      </w:r>
    </w:p>
    <w:p w:rsidR="002E3202" w:rsidRDefault="00391FE7">
      <w:r>
        <w:t xml:space="preserve">- Odluka Vlade Republike Hrvatske (sjednica održana 13. prosinca 2018. g.) o davanju suglasnosti Ministarstvu mora, prometa i infrastrukture za preuzimanje obveza na teret sredstava državnog proračuna Republike Hrvatske za razdoblje od 2019. do 2028. godine, za sklapanje ugovora s društvom HŽ PUTNIČKI PRIJEVOZ d.o.o. za prijevoz putnika, o javnim uslugama za usluge od općeg gospodarskog interesa u javnom željezničkom prijevozu u Republici Hrvatskoj za razdoblje od 01. siječnja 2019. do 31. prosinca 2028. godine  </w:t>
      </w:r>
    </w:p>
    <w:p w:rsidR="002E3202" w:rsidRDefault="00391FE7">
      <w:r>
        <w:t>- Ugovor br. 1/2019/DP-HŽPP o javnim uslugama za usluge od općeg gospodarskog interesa u javnom željezničkom prijevozu u Republici Hrvatskoj za razdoblje od 01. siječnja 2019. do 31. prosinca 2028. godine</w:t>
      </w:r>
    </w:p>
    <w:tbl>
      <w:tblPr>
        <w:tblStyle w:val="StilTablice"/>
        <w:tblW w:w="10206" w:type="dxa"/>
        <w:jc w:val="center"/>
        <w:tblLook w:val="04A0" w:firstRow="1" w:lastRow="0" w:firstColumn="1" w:lastColumn="0" w:noHBand="0" w:noVBand="1"/>
      </w:tblPr>
      <w:tblGrid>
        <w:gridCol w:w="1450"/>
        <w:gridCol w:w="1552"/>
        <w:gridCol w:w="1552"/>
        <w:gridCol w:w="1565"/>
        <w:gridCol w:w="1552"/>
        <w:gridCol w:w="1565"/>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A761011</w:t>
            </w:r>
          </w:p>
        </w:tc>
        <w:tc>
          <w:tcPr>
            <w:tcW w:w="1632" w:type="dxa"/>
            <w:vAlign w:val="top"/>
          </w:tcPr>
          <w:p w:rsidR="002E3202" w:rsidRDefault="00391FE7">
            <w:pPr>
              <w:jc w:val="right"/>
            </w:pPr>
            <w:r>
              <w:t>70.343.088</w:t>
            </w:r>
          </w:p>
        </w:tc>
        <w:tc>
          <w:tcPr>
            <w:tcW w:w="1632" w:type="dxa"/>
            <w:vAlign w:val="top"/>
          </w:tcPr>
          <w:p w:rsidR="002E3202" w:rsidRDefault="00391FE7">
            <w:pPr>
              <w:jc w:val="right"/>
            </w:pPr>
            <w:r>
              <w:t>79.644.165</w:t>
            </w:r>
          </w:p>
        </w:tc>
        <w:tc>
          <w:tcPr>
            <w:tcW w:w="1632" w:type="dxa"/>
            <w:vAlign w:val="top"/>
          </w:tcPr>
          <w:p w:rsidR="002E3202" w:rsidRDefault="00391FE7">
            <w:pPr>
              <w:jc w:val="right"/>
            </w:pPr>
            <w:r>
              <w:t>114.400.000</w:t>
            </w:r>
          </w:p>
        </w:tc>
        <w:tc>
          <w:tcPr>
            <w:tcW w:w="1632" w:type="dxa"/>
            <w:vAlign w:val="top"/>
          </w:tcPr>
          <w:p w:rsidR="002E3202" w:rsidRDefault="00391FE7">
            <w:pPr>
              <w:jc w:val="right"/>
            </w:pPr>
            <w:r>
              <w:t>81.500.000</w:t>
            </w:r>
          </w:p>
        </w:tc>
        <w:tc>
          <w:tcPr>
            <w:tcW w:w="1632" w:type="dxa"/>
            <w:vAlign w:val="top"/>
          </w:tcPr>
          <w:p w:rsidR="002E3202" w:rsidRDefault="00391FE7">
            <w:pPr>
              <w:jc w:val="right"/>
            </w:pPr>
            <w:r>
              <w:t>115.300.000</w:t>
            </w:r>
          </w:p>
        </w:tc>
        <w:tc>
          <w:tcPr>
            <w:tcW w:w="510" w:type="dxa"/>
            <w:vAlign w:val="top"/>
          </w:tcPr>
          <w:p w:rsidR="002E3202" w:rsidRDefault="00391FE7">
            <w:pPr>
              <w:jc w:val="right"/>
            </w:pPr>
            <w:r>
              <w:t>143,6</w:t>
            </w:r>
          </w:p>
        </w:tc>
      </w:tr>
    </w:tbl>
    <w:p w:rsidR="002E3202" w:rsidRDefault="002E3202">
      <w:pPr>
        <w:jc w:val="left"/>
      </w:pPr>
    </w:p>
    <w:p w:rsidR="002E3202" w:rsidRDefault="00391FE7">
      <w:r>
        <w:t xml:space="preserve">Sukladno Uredbi (EU) 2016/2338 Europskog parlamenta i Vijeća od 14. prosinca 2016. godine o izmjeni Uredbe (EZ) br. 1370/2007 u pogledu otvaranja tržišta za usluge domaćeg željezničkog prijevoza putnika (Tekst značajan za EGP ) (SL L 354, 23.12.2016.) donijeta je Odluka Vlade Republike Hrvatske (sjednica održana 13. prosinca 2018. godine) o davanju suglasnosti Ministarstvu mora, prometa i infrastrukture za preuzimanje obveza na teret sredstava državnog proračuna Republike Hrvatske za razdoblje od 2019. do 2028. godine, za sklapanje ugovora s društvom HŽ Putnički prijevoz d.o.o. (dalje: HŽPP) za prijevoz putnika, o javnim uslugama za usluge od općeg gospodarskog interesa u javnom željezničkom prijevozu u Republici Hrvatskoj za razdoblje od 01. siječnja 2019. do 31. prosinca 2028. godine. </w:t>
      </w:r>
    </w:p>
    <w:p w:rsidR="002E3202" w:rsidRDefault="00391FE7">
      <w:r>
        <w:t xml:space="preserve">Republika Hrvatska - Ministarstvo mora, prometa i infrastrukture i HŽPP za prijevoz putnika, sklopili su Ugovor br. 1/2019/DP-HŽPP o javnim uslugama za usluge od općeg gospodarskog interesa u javnom željezničkom prijevozu u Republici Hrvatskoj za razdoblje od 01. siječnja 2019. do 31. prosinca 2028. godine. </w:t>
      </w:r>
    </w:p>
    <w:p w:rsidR="002E3202" w:rsidRDefault="00391FE7">
      <w:r>
        <w:t xml:space="preserve">Ugovor o javnim uslugama za usluge od općeg gospodarskog interesa u javnom željezničkom prijevozu u Republici Hrvatskoj (UJU) je ugovor o javnim uslugama u smislu Uredbe (EZ) br. 1370/2007 Europskog parlamenta i dopunjene Uredbe (EU) 2016/2338 Europskog parlamenta u pogledu otvaranja tržišta za usluge domaćeg željezničkog prijevoza putnika.  </w:t>
      </w:r>
    </w:p>
    <w:p w:rsidR="002E3202" w:rsidRDefault="00391FE7">
      <w:r>
        <w:t xml:space="preserve">Republika Hrvatska - Ministarstvo mora, prometa i infrastrukture povjerava društvu HŽPP za prijevoz putnika, pružanje usluga kojima će jamčiti transparentnost i obavljanje usluga javnog željezničkog putničkog prijevoza na svim dionicama kroz Republiku Hrvatsku, uz poštivanje društvenih, okolišnih i regionalnih razvojnih čimbenika.  </w:t>
      </w:r>
    </w:p>
    <w:p w:rsidR="002E3202" w:rsidRDefault="00391FE7">
      <w:r>
        <w:t xml:space="preserve">Odlukom Vlade Republike Hrvatske (sjednica održana 13. prosinca 2018. godine) o davanju suglasnosti Ministarstvu mora, prometa i infrastrukture za preuzimanje obveza na teret sredstava državnog proračuna Republike Hrvatske za razdoblje od 2019. do 2028. godine, za sklapanje ugovora s društvom HŽPP za prijevoz putnika, o javnim uslugama za usluge od općeg gospodarskog interesa u javnom željezničkom prijevozu u Republici Hrvatskoj za razdoblje od 01. siječnja 2019. do 31. prosinca 2028. godine planiraju se sljedeći iznosi za proračunsko razdoblje 2024-2026 kako slijedi: </w:t>
      </w:r>
    </w:p>
    <w:p w:rsidR="002E3202" w:rsidRDefault="00391FE7">
      <w:r>
        <w:t xml:space="preserve">- u 2024. godini iznos 78.600.000 EUR  </w:t>
      </w:r>
    </w:p>
    <w:p w:rsidR="002E3202" w:rsidRDefault="00391FE7">
      <w:r>
        <w:t xml:space="preserve">- u 2025. godini iznos 74.400.000 EUR  </w:t>
      </w:r>
    </w:p>
    <w:p w:rsidR="002E3202" w:rsidRDefault="00391FE7">
      <w:r>
        <w:t xml:space="preserve">- u 2026. godini iznos 75.000.000 EUR </w:t>
      </w:r>
    </w:p>
    <w:p w:rsidR="002E3202" w:rsidRDefault="00391FE7">
      <w:r>
        <w:t xml:space="preserve">Iako je u 2023. godini zabilježen pozitivan trend u smislu povećanja broja prevezenih putnika, ostvarenih putničkih kilometara i prihoda, evidentno je i znatno povećanje troškova uslijed inflatornih kretanja i izmijenjenih poslovnih okolnosti. </w:t>
      </w:r>
    </w:p>
    <w:p w:rsidR="002E3202" w:rsidRDefault="00391FE7">
      <w:r>
        <w:t xml:space="preserve">Također na temelju zaključaka Vlade Republike Hrvatske do 31. prosinca 2024. godine nastavlja se provedba pilot-projekta besplatnoga javnog željezničkog prijevoza djece i učenika osnovnih i srednjih škola na području Republike Hrvatske i pilot-projekta povoljnijeg prijevoza redovnih studenata kojim se po jedinstvenoj cijeni mjesečne karte od 9,95 EUR omogućava neograničeno korištenje željezničkog prijevoza.   </w:t>
      </w:r>
    </w:p>
    <w:p w:rsidR="002E3202" w:rsidRDefault="00391FE7">
      <w:r>
        <w:t xml:space="preserve">U 2024. planira se daljnje provođenje mjere besplatnog prijevoza za stanovnike pogođene potresom na području Sisačko-moslavačke županije te besplatan prijevoz ukrajinskih državljana na svim relacijama unutar Republike Hrvatske. </w:t>
      </w:r>
    </w:p>
    <w:p w:rsidR="002E3202" w:rsidRDefault="00391FE7">
      <w:r>
        <w:t xml:space="preserve">Uz to na temelju zaključka sa sastanka Središnjeg ureda za demografiju, Ministarstva mora, prometa i infrastrukture i HŽ Putničkog prijevoza, radi osiguranja bolje prometne povezanosti i sprječavanja iseljavanja stanovništva iz ruralnih krajeva u novom voznom redu 2023./2024. bit će uvedeni brzi vlakovi na relacijama Zagreb – Požega, Zagreb – Sisak, Zagreb – Zabok, Zagreb – Duga Resa i Zagreb – Križevci. </w:t>
      </w:r>
    </w:p>
    <w:p w:rsidR="002E3202" w:rsidRDefault="00391FE7">
      <w:r>
        <w:t xml:space="preserve">Remonti pruga nastavljaju se na većem dijelu mreže HŽ-a te se planiraju radovi na sljedećim dionicama: DG Savski Marof – Zagreb GK, Dugo Selo – Križevci – Koprivnica, Slavonski Brod – Vinkovci , Zagreb GK – Rijeka na relacijama Jastrebarsko – Karlovac, Hrvatski Leskovac –Jastrebarsko, Generalski Stol – Gornje Dubrave i Ogulin – Moravice , Donji Kraljevec – Kotoriba, Velika Gorica – Sisak – Novska na relacijama Sisak – Sisak Caprag i Sunja –Novska, Oštarije – Knin – Split na relaciji Gračac – Malovan i Ogulin – Rijeka. </w:t>
      </w:r>
    </w:p>
    <w:p w:rsidR="002E3202" w:rsidRDefault="00391FE7">
      <w:r>
        <w:t xml:space="preserve">Zbog radova na infrastrukturi smanjuju se brzine prometovanja putničkih vlakova te se uvodi zamjenski autobusni prijevoz koji znatno narušava kvalitetu usluge i potražnju za uslugama prijevoza. </w:t>
      </w:r>
    </w:p>
    <w:p w:rsidR="002E3202" w:rsidRDefault="00391FE7">
      <w:r>
        <w:t xml:space="preserve">Značajan je porast troškova uslijed inflatornih pritisaka koji su generirani rastom cijena energenata te posljedično i drugih troškova poslovanja.  </w:t>
      </w:r>
    </w:p>
    <w:p w:rsidR="002E3202" w:rsidRDefault="00391FE7">
      <w:r>
        <w:t xml:space="preserve">Povećava se i trošak tekućeg održavanja voznog parka iz razloga: </w:t>
      </w:r>
    </w:p>
    <w:p w:rsidR="002E3202" w:rsidRDefault="00391FE7">
      <w:r>
        <w:t xml:space="preserve">- istekom garantnog roka za nove vlakove povećava se trošak tekućeg održavanja za posjednika vozila dok je u garantnom roku troškove korektivnog održavanja snosio proizvođač vozila </w:t>
      </w:r>
    </w:p>
    <w:p w:rsidR="002E3202" w:rsidRDefault="00391FE7">
      <w:r>
        <w:t xml:space="preserve">- starosti voznog parka i isteka ciklusa za obavljanje popravaka planirano je više kontrolnih pregleda najviše razine (KP6) </w:t>
      </w:r>
    </w:p>
    <w:p w:rsidR="002E3202" w:rsidRDefault="00391FE7">
      <w:r>
        <w:t xml:space="preserve">- u drugoj polovini 2023. održavatelji su povećali cijene održavanja željezničkih vozila. </w:t>
      </w:r>
    </w:p>
    <w:p w:rsidR="002E3202" w:rsidRDefault="00391FE7">
      <w:r>
        <w:t xml:space="preserve">U  okviru ove aktivnosti u razdoblju 2024.-2026. godine, uključeni su i projekti koji se financiraju iz Europske investicijske banke (35.800.000 EUR u 2024. godini, 7.100.000 EUR u 2025. godini te 40.300.000 EUR u 2026. godini). </w:t>
      </w:r>
    </w:p>
    <w:p w:rsidR="002E3202" w:rsidRDefault="00391FE7">
      <w:r>
        <w:t>Iz zajma EIB-a planira se financiranje nabave 6 novih elektro dizel-motornih vlakova (za relaciju Zagreb – Split), 4 baterijska vlaka za splitsko i istarsko područje te 4 elektro baterijska vlaka za relacije Zagreb – Krapina i Zagreb – Bjelovar. Planira se i izgradnja Tehničko-logističkog centra Zagreb, uključivo obnovu radionice za održavanje željezničkih vozila u Splitu, izgradnja punionica za baterijske vlakove na lokacijama Lupoglav i Požega (Velika), nadogradnja stabilnih energetskih priključaka alternativnim izvorom energije te dovršetak projekta nabave dva baterijska vlaka i šest stabilnih energetskih priključaka za punjenje pogonskih baterija u kolodvorima Split, Osijek, Varaždin, Bjelovar, Virovitica i Pula.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Postotak izvršenja PSO Ugovora</w:t>
            </w:r>
          </w:p>
        </w:tc>
        <w:tc>
          <w:tcPr>
            <w:tcW w:w="2245" w:type="dxa"/>
            <w:vAlign w:val="top"/>
          </w:tcPr>
          <w:p w:rsidR="002E3202" w:rsidRDefault="00391FE7">
            <w:pPr>
              <w:pStyle w:val="CellColumn"/>
              <w:jc w:val="left"/>
            </w:pPr>
            <w:r>
              <w:rPr>
                <w:rFonts w:cs="Times New Roman"/>
              </w:rPr>
              <w:t>Poticanjem željezničkog prijevoza i provedbom Ugovora o javnom željezničkom putničkom prijevozu na svim dionicama RH rasti će broj putnika željeznicom</w:t>
            </w:r>
          </w:p>
        </w:tc>
        <w:tc>
          <w:tcPr>
            <w:tcW w:w="918" w:type="dxa"/>
          </w:tcPr>
          <w:p w:rsidR="002E3202" w:rsidRDefault="00391FE7">
            <w:pPr>
              <w:jc w:val="center"/>
            </w:pPr>
            <w:r>
              <w:t>%</w:t>
            </w:r>
          </w:p>
        </w:tc>
        <w:tc>
          <w:tcPr>
            <w:tcW w:w="918" w:type="dxa"/>
          </w:tcPr>
          <w:p w:rsidR="002E3202" w:rsidRDefault="00391FE7">
            <w:pPr>
              <w:jc w:val="center"/>
            </w:pPr>
            <w:r>
              <w:t>100</w:t>
            </w:r>
          </w:p>
        </w:tc>
        <w:tc>
          <w:tcPr>
            <w:tcW w:w="918" w:type="dxa"/>
          </w:tcPr>
          <w:p w:rsidR="002E3202" w:rsidRDefault="00391FE7">
            <w:pPr>
              <w:pStyle w:val="CellColumn"/>
              <w:jc w:val="center"/>
            </w:pPr>
            <w:r>
              <w:rPr>
                <w:rFonts w:cs="Times New Roman"/>
              </w:rPr>
              <w:t>HŽPP</w:t>
            </w:r>
          </w:p>
        </w:tc>
        <w:tc>
          <w:tcPr>
            <w:tcW w:w="918" w:type="dxa"/>
          </w:tcPr>
          <w:p w:rsidR="002E3202" w:rsidRDefault="00391FE7">
            <w:pPr>
              <w:jc w:val="center"/>
            </w:pPr>
            <w:r>
              <w:t>111,7</w:t>
            </w:r>
          </w:p>
        </w:tc>
        <w:tc>
          <w:tcPr>
            <w:tcW w:w="918" w:type="dxa"/>
          </w:tcPr>
          <w:p w:rsidR="002E3202" w:rsidRDefault="00391FE7">
            <w:pPr>
              <w:jc w:val="center"/>
            </w:pPr>
            <w:r>
              <w:t>105,8</w:t>
            </w:r>
          </w:p>
        </w:tc>
        <w:tc>
          <w:tcPr>
            <w:tcW w:w="918" w:type="dxa"/>
          </w:tcPr>
          <w:p w:rsidR="002E3202" w:rsidRDefault="00391FE7">
            <w:pPr>
              <w:jc w:val="center"/>
            </w:pPr>
            <w:r>
              <w:t>106,6</w:t>
            </w:r>
          </w:p>
        </w:tc>
      </w:tr>
    </w:tbl>
    <w:p w:rsidR="002E3202" w:rsidRDefault="002E3202">
      <w:pPr>
        <w:jc w:val="left"/>
      </w:pPr>
    </w:p>
    <w:p w:rsidR="002E3202" w:rsidRDefault="00391FE7">
      <w:pPr>
        <w:pStyle w:val="Heading4"/>
      </w:pPr>
      <w:r>
        <w:t>A819076 POTICANJE OTOČNOG JAVNOG CESTOVNOG PRIJEVOZA</w:t>
      </w:r>
    </w:p>
    <w:p w:rsidR="002E3202" w:rsidRDefault="00391FE7">
      <w:pPr>
        <w:pStyle w:val="Heading8"/>
        <w:jc w:val="left"/>
      </w:pPr>
      <w:r>
        <w:t>Zakonske i druge pravne osnove</w:t>
      </w:r>
    </w:p>
    <w:p w:rsidR="002E3202" w:rsidRDefault="00391FE7">
      <w:r>
        <w:t xml:space="preserve">- Zakon o otocima </w:t>
      </w:r>
    </w:p>
    <w:p w:rsidR="002E3202" w:rsidRDefault="00391FE7">
      <w:r>
        <w:t xml:space="preserve">- Pravilnik o uvjetima, kriterijima i načinu ostvarivanja prava na besplatni javni otočni cestovni prijevoz </w:t>
      </w:r>
    </w:p>
    <w:p w:rsidR="002E3202" w:rsidRDefault="00391FE7">
      <w:r>
        <w:t>- Zakon o prijevozu u cestovnom prometu (članak 33. stavak 17.)</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A819076</w:t>
            </w:r>
          </w:p>
        </w:tc>
        <w:tc>
          <w:tcPr>
            <w:tcW w:w="1632" w:type="dxa"/>
            <w:vAlign w:val="top"/>
          </w:tcPr>
          <w:p w:rsidR="002E3202" w:rsidRDefault="00391FE7">
            <w:pPr>
              <w:jc w:val="right"/>
            </w:pPr>
            <w:r>
              <w:t>3.923.195</w:t>
            </w:r>
          </w:p>
        </w:tc>
        <w:tc>
          <w:tcPr>
            <w:tcW w:w="1632" w:type="dxa"/>
            <w:vAlign w:val="top"/>
          </w:tcPr>
          <w:p w:rsidR="002E3202" w:rsidRDefault="00391FE7">
            <w:pPr>
              <w:jc w:val="right"/>
            </w:pPr>
            <w:r>
              <w:t>4.646.625</w:t>
            </w:r>
          </w:p>
        </w:tc>
        <w:tc>
          <w:tcPr>
            <w:tcW w:w="1632" w:type="dxa"/>
            <w:vAlign w:val="top"/>
          </w:tcPr>
          <w:p w:rsidR="002E3202" w:rsidRDefault="00391FE7">
            <w:pPr>
              <w:jc w:val="right"/>
            </w:pPr>
            <w:r>
              <w:t>5.311.566</w:t>
            </w:r>
          </w:p>
        </w:tc>
        <w:tc>
          <w:tcPr>
            <w:tcW w:w="1632" w:type="dxa"/>
            <w:vAlign w:val="top"/>
          </w:tcPr>
          <w:p w:rsidR="002E3202" w:rsidRDefault="00391FE7">
            <w:pPr>
              <w:jc w:val="right"/>
            </w:pPr>
            <w:r>
              <w:t>5.311.566</w:t>
            </w:r>
          </w:p>
        </w:tc>
        <w:tc>
          <w:tcPr>
            <w:tcW w:w="1632" w:type="dxa"/>
            <w:vAlign w:val="top"/>
          </w:tcPr>
          <w:p w:rsidR="002E3202" w:rsidRDefault="00391FE7">
            <w:pPr>
              <w:jc w:val="right"/>
            </w:pPr>
            <w:r>
              <w:t>5.311.566</w:t>
            </w:r>
          </w:p>
        </w:tc>
        <w:tc>
          <w:tcPr>
            <w:tcW w:w="510" w:type="dxa"/>
            <w:vAlign w:val="top"/>
          </w:tcPr>
          <w:p w:rsidR="002E3202" w:rsidRDefault="00391FE7">
            <w:pPr>
              <w:jc w:val="right"/>
            </w:pPr>
            <w:r>
              <w:t>114,3</w:t>
            </w:r>
          </w:p>
        </w:tc>
      </w:tr>
    </w:tbl>
    <w:p w:rsidR="002E3202" w:rsidRDefault="002E3202">
      <w:pPr>
        <w:jc w:val="left"/>
      </w:pPr>
    </w:p>
    <w:p w:rsidR="002E3202" w:rsidRDefault="00391FE7">
      <w:r>
        <w:t xml:space="preserve">Ovom mjerom planira se osigurati korištenje besplatnog javnog otočnog cestovnog prijevoza određenim kategorijama otočnog stanovništva (djeca do navršene osme godine života, učenici i studenti, umirovljenici, stariji od 65 godina, djeca s teškoćama u razvoju, osobe s invaliditetom, osoba koja je u pratnji djeteta s teškoćama u razvoju ili osobe s invaliditetom, osim kada osoba u pratnji ostvaruje pravo na besplatni prijevoz u skladu s posebnim propisom). Osim kategorija otočana pravo na besplatan javni otočni cestovni prijevoz ima: dijete s teškoćama u razvoju kojem je utvrđen III. ili IV. stupanj funkcionalnog oštećenja bez obzira na mjesto prebivališta, učenik i student koji se školuje odnosno studira na otoku, osoba s invaliditetom kod koje je utvrđeno tjelesno oštećenje donjih ekstremiteta 80 % ili više, hrvatski ratni vojni invalid sa 100 % tjelesnog oštećenja te osoba s invaliditetom kojoj je utvrđen III. ili IV. stupanj funkcionalnog oštećenja, bez obzira na mjesto prebivališta, osoba koja je u pratnji djeteta s teškoćama u razvoju iz podstavka 1. ovoga stavka ili osobe s invaliditetom iz podstavka 3. ovoga stavka, osim kada osoba u pratnji ostvaruje pravo na besplatni prijevoz u skladu s posebnim propisom, korisnik doma za starije i nemoćne osobe na otocima. Djeca s teškoćama u razvoju i osobe s invaliditetom iz stavka 2. ovoga članka, koje zbog invaliditeta za ostvarivanje svojih osobnih potreba ne mogu koristiti javni otočni cestovni prijevoz, imaju pravo na novčanu naknadu za nadoknadu troškova vlastitog prijevoza, a navedeno pravo ostvaruju podnošenjem zahtjeva nadležnom upravnom tijelu obalno-otočne jedinice područne (regionalne) samouprave.  </w:t>
      </w:r>
    </w:p>
    <w:p w:rsidR="002E3202" w:rsidRDefault="00391FE7">
      <w:r>
        <w:t xml:space="preserve"> </w:t>
      </w:r>
    </w:p>
    <w:p w:rsidR="002E3202" w:rsidRDefault="00391FE7">
      <w:r>
        <w:t xml:space="preserve">Iako su izmjenama i dopunama Zakona o otocima („Narodne novine“, br. 116/18, 73/20, 70/21) dodane kategorije putnika iz članka 31.  koji imaju pravo na besplatni prijevoz do škola, trajektnog pristaništa ili prve autobusne stanice kod premoštenih otoka, sam broj prevezenih putnika na otocima je premali da bi bio rentabilan za cestovne prijevoznike. Također, značajan porast ukupnih troškova cestovnih prijevoznika uslijed daljnjih inflatornih pritisaka koji su generirani rastom cijena energenata te posljedično i drugih troškova (održavanje vozila) reflektiraju se i na  plansko razdoblje 2024. – 2026. godine.  </w:t>
      </w:r>
    </w:p>
    <w:p w:rsidR="002E3202" w:rsidRDefault="00391FE7">
      <w:r>
        <w:t xml:space="preserve"> </w:t>
      </w:r>
    </w:p>
    <w:p w:rsidR="002E3202" w:rsidRDefault="00391FE7">
      <w:r>
        <w:t>U cilju poboljšanja životnog standarda građana i smanjenja iseljavanja stanovništva s otoka, ovom mjerom planirana sredstva su do 2021. godine bila na pozicijama Ministarstva regionalnoga razvoja i fondova Europske unije, a od 2022. godine na pozicijama Ministarstva mora, prometa i infrastrukture te se temeljem Odluke ministra do sada isplaćivalo prijevoznicima s kojima je Ministarstvo sklopilo ugovore, a od 2024. godine će se sklapati ugovori između prijevoznika i priobalnih županija, te će Ministarstvo doznačivati sredstva županijama, a one prijevoznicima.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Broj stanovnika</w:t>
            </w:r>
          </w:p>
        </w:tc>
        <w:tc>
          <w:tcPr>
            <w:tcW w:w="2245" w:type="dxa"/>
            <w:vAlign w:val="top"/>
          </w:tcPr>
          <w:p w:rsidR="002E3202" w:rsidRDefault="00391FE7">
            <w:pPr>
              <w:pStyle w:val="CellColumn"/>
              <w:jc w:val="left"/>
            </w:pPr>
            <w:r>
              <w:rPr>
                <w:rFonts w:cs="Times New Roman"/>
              </w:rPr>
              <w:t>Povećanje broja stanovnika otoka koji koriste besplatni otočni javni prijevoz</w:t>
            </w:r>
          </w:p>
        </w:tc>
        <w:tc>
          <w:tcPr>
            <w:tcW w:w="918" w:type="dxa"/>
          </w:tcPr>
          <w:p w:rsidR="002E3202" w:rsidRDefault="00391FE7">
            <w:pPr>
              <w:jc w:val="center"/>
            </w:pPr>
            <w:r>
              <w:t>broj</w:t>
            </w:r>
          </w:p>
        </w:tc>
        <w:tc>
          <w:tcPr>
            <w:tcW w:w="918" w:type="dxa"/>
          </w:tcPr>
          <w:p w:rsidR="002E3202" w:rsidRDefault="00391FE7">
            <w:pPr>
              <w:jc w:val="center"/>
            </w:pPr>
            <w:r>
              <w:t>50.313</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51.171</w:t>
            </w:r>
          </w:p>
        </w:tc>
        <w:tc>
          <w:tcPr>
            <w:tcW w:w="918" w:type="dxa"/>
          </w:tcPr>
          <w:p w:rsidR="002E3202" w:rsidRDefault="00391FE7">
            <w:pPr>
              <w:jc w:val="center"/>
            </w:pPr>
            <w:r>
              <w:t>52.000</w:t>
            </w:r>
          </w:p>
        </w:tc>
        <w:tc>
          <w:tcPr>
            <w:tcW w:w="918" w:type="dxa"/>
          </w:tcPr>
          <w:p w:rsidR="002E3202" w:rsidRDefault="00391FE7">
            <w:pPr>
              <w:jc w:val="center"/>
            </w:pPr>
            <w:r>
              <w:t>52.500</w:t>
            </w:r>
          </w:p>
        </w:tc>
      </w:tr>
    </w:tbl>
    <w:p w:rsidR="002E3202" w:rsidRDefault="002E3202">
      <w:pPr>
        <w:jc w:val="left"/>
      </w:pPr>
    </w:p>
    <w:p w:rsidR="002E3202" w:rsidRDefault="00391FE7">
      <w:pPr>
        <w:pStyle w:val="Heading4"/>
      </w:pPr>
      <w:r>
        <w:t>A820076 SUFINANCIRANJE JAVNE USLUGE U CESTOVNOM PRIJEVOZU</w:t>
      </w:r>
    </w:p>
    <w:p w:rsidR="002E3202" w:rsidRDefault="00391FE7">
      <w:pPr>
        <w:pStyle w:val="Heading8"/>
        <w:jc w:val="left"/>
      </w:pPr>
      <w:r>
        <w:t>Zakonske i druge pravne osnove</w:t>
      </w:r>
    </w:p>
    <w:p w:rsidR="002E3202" w:rsidRDefault="00391FE7">
      <w:r>
        <w:t xml:space="preserve">- Uredba Europskog parlamenta i Vijeća o uslugama javnog željezničkog i cestovnog prijevoza putnika </w:t>
      </w:r>
    </w:p>
    <w:p w:rsidR="002E3202" w:rsidRDefault="00391FE7">
      <w:r>
        <w:t xml:space="preserve">- Zakon o prijevozu u cestovnom prometu (članak 33.) </w:t>
      </w:r>
    </w:p>
    <w:p w:rsidR="002E3202" w:rsidRDefault="00391FE7">
      <w:r>
        <w:t>- Odluka o iznosima sufinanciranja, mjerilima i kriterijima za sufinanciranje javne usluge u cestovnom prijevozu putnika</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A820076</w:t>
            </w:r>
          </w:p>
        </w:tc>
        <w:tc>
          <w:tcPr>
            <w:tcW w:w="1632" w:type="dxa"/>
            <w:vAlign w:val="top"/>
          </w:tcPr>
          <w:p w:rsidR="002E3202" w:rsidRDefault="00391FE7">
            <w:pPr>
              <w:jc w:val="right"/>
            </w:pPr>
            <w:r>
              <w:t>5.279.207</w:t>
            </w:r>
          </w:p>
        </w:tc>
        <w:tc>
          <w:tcPr>
            <w:tcW w:w="1632" w:type="dxa"/>
            <w:vAlign w:val="top"/>
          </w:tcPr>
          <w:p w:rsidR="002E3202" w:rsidRDefault="00391FE7">
            <w:pPr>
              <w:jc w:val="right"/>
            </w:pPr>
            <w:r>
              <w:t>12.000.000</w:t>
            </w:r>
          </w:p>
        </w:tc>
        <w:tc>
          <w:tcPr>
            <w:tcW w:w="1632" w:type="dxa"/>
            <w:vAlign w:val="top"/>
          </w:tcPr>
          <w:p w:rsidR="002E3202" w:rsidRDefault="00391FE7">
            <w:pPr>
              <w:jc w:val="right"/>
            </w:pPr>
            <w:r>
              <w:t>19.164.423</w:t>
            </w:r>
          </w:p>
        </w:tc>
        <w:tc>
          <w:tcPr>
            <w:tcW w:w="1632" w:type="dxa"/>
            <w:vAlign w:val="top"/>
          </w:tcPr>
          <w:p w:rsidR="002E3202" w:rsidRDefault="00391FE7">
            <w:pPr>
              <w:jc w:val="right"/>
            </w:pPr>
            <w:r>
              <w:t>48.209.288</w:t>
            </w:r>
          </w:p>
        </w:tc>
        <w:tc>
          <w:tcPr>
            <w:tcW w:w="1632" w:type="dxa"/>
            <w:vAlign w:val="top"/>
          </w:tcPr>
          <w:p w:rsidR="002E3202" w:rsidRDefault="00391FE7">
            <w:pPr>
              <w:jc w:val="right"/>
            </w:pPr>
            <w:r>
              <w:t>48.209.288</w:t>
            </w:r>
          </w:p>
        </w:tc>
        <w:tc>
          <w:tcPr>
            <w:tcW w:w="510" w:type="dxa"/>
            <w:vAlign w:val="top"/>
          </w:tcPr>
          <w:p w:rsidR="002E3202" w:rsidRDefault="00391FE7">
            <w:pPr>
              <w:jc w:val="right"/>
            </w:pPr>
            <w:r>
              <w:t>159,7</w:t>
            </w:r>
          </w:p>
        </w:tc>
      </w:tr>
    </w:tbl>
    <w:p w:rsidR="002E3202" w:rsidRDefault="002E3202">
      <w:pPr>
        <w:jc w:val="left"/>
      </w:pPr>
    </w:p>
    <w:p w:rsidR="002E3202" w:rsidRDefault="00391FE7">
      <w:r>
        <w:t xml:space="preserve">U cilju osiguranja nesmetanog obavljanja javnog linijskog prijevoza, ovom mjerom planiraju se sredstva radi sufinanciranja naknade cestovnim prijevoznicima za obavljanje prijevoza na redovnim autobusnim linijama na području županija. Županijski prijevoz putnika obavlja se na temelju Uredbe (EZ) 1370/2007 kao javna usluga ili na temelju dozvole za prijevoz koju nakon provedenog postupka usklađivanja voznih redova izdaje upravno tijelo nadležno za promet jedinice područne (regionalne) samouprave na čijem području se takav prijevoz organizira i obavlja ili na temelju koncesije. Planirana sredstva će se dodjeljivati županijama radi isplate nadoknade troškova cestovnim prijevoznicima s kojima će sklopiti ugovore o obavljanju cestovnog prijevoza putnika kao javne usluge. </w:t>
      </w:r>
    </w:p>
    <w:p w:rsidR="002E3202" w:rsidRDefault="00391FE7">
      <w:r>
        <w:t>Vlada Republike Hrvatske sufinancirat će javnu uslugu u cestovnom prijevozu putnika ugovorenu između jedinica područne (regionalne) samouprave i prijevoznika u razdoblju od 2021. do 2027. u godišnjem iznosu utvrđenom u državnom proračunu do najviše 56.820.855 eura.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Povećanje broja županija koje na svom administrativnom području imaju sklopljen ugovor o javnom linijskom prijevozu putnika u cestovnom prometu kao javnoj usluzi</w:t>
            </w:r>
          </w:p>
        </w:tc>
        <w:tc>
          <w:tcPr>
            <w:tcW w:w="2245" w:type="dxa"/>
            <w:vAlign w:val="top"/>
          </w:tcPr>
          <w:p w:rsidR="002E3202" w:rsidRDefault="00391FE7">
            <w:pPr>
              <w:pStyle w:val="CellColumn"/>
              <w:jc w:val="left"/>
            </w:pPr>
            <w:r>
              <w:rPr>
                <w:rFonts w:cs="Times New Roman"/>
              </w:rPr>
              <w:t>Županije izrađuju mrežu linija koja je podloga za sklapanje ugovora o prijevozu kao javnoj usluzi (PSO), te osiguravaju potrebna sredstva za sufinanciranje planirane mreže. Na taj način osigurava se pružanje usluga od općeg interesa krajnjim korisnicima, koje su redovitije, sigurnije, kvalitetnije ili pružene uz niži trošak od onih koje bi samo tržište moglo ponuditi.</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5</w:t>
            </w:r>
          </w:p>
        </w:tc>
        <w:tc>
          <w:tcPr>
            <w:tcW w:w="918" w:type="dxa"/>
          </w:tcPr>
          <w:p w:rsidR="002E3202" w:rsidRDefault="00391FE7">
            <w:pPr>
              <w:jc w:val="center"/>
            </w:pPr>
            <w:r>
              <w:t>8</w:t>
            </w:r>
          </w:p>
        </w:tc>
        <w:tc>
          <w:tcPr>
            <w:tcW w:w="918" w:type="dxa"/>
          </w:tcPr>
          <w:p w:rsidR="002E3202" w:rsidRDefault="00391FE7">
            <w:pPr>
              <w:jc w:val="center"/>
            </w:pPr>
            <w:r>
              <w:t>10</w:t>
            </w:r>
          </w:p>
        </w:tc>
      </w:tr>
    </w:tbl>
    <w:p w:rsidR="002E3202" w:rsidRDefault="002E3202">
      <w:pPr>
        <w:jc w:val="left"/>
      </w:pPr>
    </w:p>
    <w:p w:rsidR="002E3202" w:rsidRDefault="00391FE7">
      <w:pPr>
        <w:pStyle w:val="Heading4"/>
      </w:pPr>
      <w:r>
        <w:t>T820081 NADOKNADA DIJELA TROŠKA DIZELSKOG GORIVA KOJE SE KORISTI KAO POGONSKO GORIVO U KOMERCIJALNOM PRIJEVOZU PUTNIKA</w:t>
      </w:r>
    </w:p>
    <w:p w:rsidR="002E3202" w:rsidRDefault="00391FE7">
      <w:pPr>
        <w:pStyle w:val="Heading8"/>
        <w:jc w:val="left"/>
      </w:pPr>
      <w:r>
        <w:t>Zakonske i druge pravne osnove</w:t>
      </w:r>
    </w:p>
    <w:p w:rsidR="002E3202" w:rsidRDefault="00391FE7">
      <w:r>
        <w:t xml:space="preserve">-  Pravilnik o ostvarivanju prava na povrat dijela plaćene trošarine za dizelsko gorivo u komercijalnom prijevozu robe i putnika („Narodne novine“, br. 12/2019) </w:t>
      </w:r>
    </w:p>
    <w:p w:rsidR="002E3202" w:rsidRDefault="00391FE7">
      <w:r>
        <w:t>-  Uredba o nadoknadi dijela troška dizelskog goriva koje se koristi kao pogonsko gorivo u komercijalnom cestovnom prijevozu putnika („Narodne novine“, br. 104/2022)</w:t>
      </w:r>
    </w:p>
    <w:tbl>
      <w:tblPr>
        <w:tblStyle w:val="StilTablice"/>
        <w:tblW w:w="10206" w:type="dxa"/>
        <w:jc w:val="center"/>
        <w:tblLook w:val="04A0" w:firstRow="1" w:lastRow="0" w:firstColumn="1" w:lastColumn="0" w:noHBand="0" w:noVBand="1"/>
      </w:tblPr>
      <w:tblGrid>
        <w:gridCol w:w="1472"/>
        <w:gridCol w:w="1564"/>
        <w:gridCol w:w="1574"/>
        <w:gridCol w:w="1564"/>
        <w:gridCol w:w="1531"/>
        <w:gridCol w:w="1531"/>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T820081</w:t>
            </w:r>
          </w:p>
        </w:tc>
        <w:tc>
          <w:tcPr>
            <w:tcW w:w="1632" w:type="dxa"/>
            <w:vAlign w:val="top"/>
          </w:tcPr>
          <w:p w:rsidR="002E3202" w:rsidRDefault="00391FE7">
            <w:pPr>
              <w:jc w:val="right"/>
            </w:pPr>
            <w:r>
              <w:t>1.993.987</w:t>
            </w:r>
          </w:p>
        </w:tc>
        <w:tc>
          <w:tcPr>
            <w:tcW w:w="1632" w:type="dxa"/>
            <w:vAlign w:val="top"/>
          </w:tcPr>
          <w:p w:rsidR="002E3202" w:rsidRDefault="00391FE7">
            <w:pPr>
              <w:jc w:val="right"/>
            </w:pPr>
            <w:r>
              <w:t>12.687.398</w:t>
            </w:r>
          </w:p>
        </w:tc>
        <w:tc>
          <w:tcPr>
            <w:tcW w:w="1632" w:type="dxa"/>
            <w:vAlign w:val="top"/>
          </w:tcPr>
          <w:p w:rsidR="002E3202" w:rsidRDefault="00391FE7">
            <w:pPr>
              <w:jc w:val="right"/>
            </w:pPr>
            <w:r>
              <w:t>5.000.000</w:t>
            </w:r>
          </w:p>
        </w:tc>
        <w:tc>
          <w:tcPr>
            <w:tcW w:w="1632" w:type="dxa"/>
            <w:vAlign w:val="top"/>
          </w:tcPr>
          <w:p w:rsidR="002E3202" w:rsidRDefault="00391FE7">
            <w:pPr>
              <w:jc w:val="right"/>
            </w:pPr>
            <w:r>
              <w:t>00</w:t>
            </w:r>
          </w:p>
        </w:tc>
        <w:tc>
          <w:tcPr>
            <w:tcW w:w="1632" w:type="dxa"/>
            <w:vAlign w:val="top"/>
          </w:tcPr>
          <w:p w:rsidR="002E3202" w:rsidRDefault="00391FE7">
            <w:pPr>
              <w:jc w:val="right"/>
            </w:pPr>
            <w:r>
              <w:t>00</w:t>
            </w:r>
          </w:p>
        </w:tc>
        <w:tc>
          <w:tcPr>
            <w:tcW w:w="510" w:type="dxa"/>
            <w:vAlign w:val="top"/>
          </w:tcPr>
          <w:p w:rsidR="002E3202" w:rsidRDefault="00391FE7">
            <w:pPr>
              <w:jc w:val="right"/>
            </w:pPr>
            <w:r>
              <w:t>39,4</w:t>
            </w:r>
          </w:p>
        </w:tc>
      </w:tr>
    </w:tbl>
    <w:p w:rsidR="002E3202" w:rsidRDefault="002E3202">
      <w:pPr>
        <w:jc w:val="left"/>
      </w:pPr>
    </w:p>
    <w:p w:rsidR="002E3202" w:rsidRDefault="00391FE7">
      <w:r>
        <w:t xml:space="preserve">Pravo na nadoknadu dijela troška dizelskog goriva koje se koristi kao pogonsko gorivo u komercijalnom cestovnom prijevozu putnika imaju osobe koje obavljaju komercijalni cestovni prijevoz putnika koje su na temelju odredbi Pravilnika o ostvarivanju prava na povrat dijela plaćene trošarine za dizelsko gorivo u komercijalnom prijevozu robe i putnika (»Narodne novine«, broj 12/19.) rješenjem Ministarstva financija – Carinske uprave ostvarile pravo na povrat dijela trošarine za razdoblje od 1. travnja 2023. do 31. ožujka 2024.  </w:t>
      </w:r>
    </w:p>
    <w:p w:rsidR="002E3202" w:rsidRDefault="00391FE7">
      <w:r>
        <w:t xml:space="preserve">Uredbom o nadoknadi dijela troška dizelskog goriva koje se koristi kao pogonsko gorivo u komercijalnom cestovnom prijevozu putnika („Narodne novine“, br. 31/2023) propisano je da nadoknada po litri dizelskog goriva koje se koristi kao pogonsko gorivo u komercijalnom prijevozu putnika iznosi 0,16 eura. Ako se rješenjem Ministarstva financija – Carinske uprave odobrava povrat plaćene trošarine za godišnje razdoblje za 2023. godinu, obračun i isplata nadoknade dijela troška dizelskog goriva temeljem ove Uredbe odobrit će se za 75 % od ukupne količine dizelskog goriva za koje je tim rješenjem utvrđeno pravo povrata trošarine. O podnesenom zahtjevu Ministarstvo mora, prometa i infrastrukture odlučuje rješenjem. </w:t>
      </w:r>
    </w:p>
    <w:p w:rsidR="002E3202" w:rsidRDefault="00391FE7">
      <w:r>
        <w:t>S ciljem podrške i pomoći prijevoznicima u očuvanju stabilnosti komercijalnog cestovnog prijevoza putnika, donesena je predmetna mjera te su osigurana sredstva iz Državnog proračuna Republike Hrvatske za 2024. godinu u iznosu od 5.000.000,00 eura.</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71"/>
        <w:gridCol w:w="2270"/>
        <w:gridCol w:w="928"/>
        <w:gridCol w:w="928"/>
        <w:gridCol w:w="928"/>
        <w:gridCol w:w="1025"/>
        <w:gridCol w:w="928"/>
        <w:gridCol w:w="928"/>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Količina subvencioniranog dizelskog goriva koje se koristi kao pogonsko gorivo u komercijalnom cestovnom prijevozu putnika</w:t>
            </w:r>
          </w:p>
        </w:tc>
        <w:tc>
          <w:tcPr>
            <w:tcW w:w="2245" w:type="dxa"/>
            <w:vAlign w:val="top"/>
          </w:tcPr>
          <w:p w:rsidR="002E3202" w:rsidRDefault="00391FE7">
            <w:pPr>
              <w:pStyle w:val="CellColumn"/>
              <w:jc w:val="left"/>
            </w:pPr>
            <w:r>
              <w:rPr>
                <w:rFonts w:cs="Times New Roman"/>
              </w:rPr>
              <w:t>Nadoknada dijela troška dizelskog goriva koje se koristi kao pogonsko gorivo u komercijalnom cestovnom prijevozu putnika osobama koje obavljaju komercijalni cestovni prijevoz putnika koje su na temelju odredbi Pravilnika o ostvarivanju prava na povrat dijela plaćene trošarine za dizelsko gorivo u komercijalnom prijevozu robe i putnika („Narodne novine“, broj 12/19) rješenjem Ministarstva financija – Carinske uprave ostvarile pravo na povrat dijela trošarine za razdoblje od 1. srpnja 2022. do 31. ožujka 2023.</w:t>
            </w:r>
          </w:p>
        </w:tc>
        <w:tc>
          <w:tcPr>
            <w:tcW w:w="918" w:type="dxa"/>
          </w:tcPr>
          <w:p w:rsidR="002E3202" w:rsidRDefault="00391FE7">
            <w:pPr>
              <w:jc w:val="center"/>
            </w:pPr>
            <w:r>
              <w:t xml:space="preserve">broj </w:t>
            </w:r>
          </w:p>
          <w:p w:rsidR="002E3202" w:rsidRDefault="00391FE7">
            <w:pPr>
              <w:jc w:val="center"/>
            </w:pPr>
            <w:r>
              <w:t>litara</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36.000.000</w:t>
            </w:r>
          </w:p>
        </w:tc>
        <w:tc>
          <w:tcPr>
            <w:tcW w:w="918" w:type="dxa"/>
          </w:tcPr>
          <w:p w:rsidR="002E3202" w:rsidRDefault="00391FE7">
            <w:pPr>
              <w:jc w:val="center"/>
            </w:pPr>
            <w:r>
              <w:t>-</w:t>
            </w:r>
          </w:p>
        </w:tc>
        <w:tc>
          <w:tcPr>
            <w:tcW w:w="918" w:type="dxa"/>
          </w:tcPr>
          <w:p w:rsidR="002E3202" w:rsidRDefault="00391FE7">
            <w:pPr>
              <w:jc w:val="center"/>
            </w:pPr>
            <w:r>
              <w:t>-</w:t>
            </w:r>
          </w:p>
        </w:tc>
      </w:tr>
    </w:tbl>
    <w:p w:rsidR="002E3202" w:rsidRDefault="002E3202">
      <w:pPr>
        <w:jc w:val="left"/>
      </w:pPr>
    </w:p>
    <w:p w:rsidR="002E3202" w:rsidRDefault="00391FE7">
      <w:pPr>
        <w:pStyle w:val="Heading4"/>
      </w:pPr>
      <w:r>
        <w:t>T821079 PROMICANJE ŽELJEZNIČKOG PROMETA KROZ POLITIKU ODRŽIVOG PRIJEVOZA I RAZVOJA - "CULTURE ON RAILS TOWARDS GREEN FUTURE"</w:t>
      </w:r>
    </w:p>
    <w:p w:rsidR="002E3202" w:rsidRDefault="00391FE7">
      <w:pPr>
        <w:pStyle w:val="Heading8"/>
        <w:jc w:val="left"/>
      </w:pPr>
      <w:r>
        <w:t>Zakonske i druge pravne osnove</w:t>
      </w:r>
    </w:p>
    <w:p w:rsidR="002E3202" w:rsidRDefault="00391FE7">
      <w:r>
        <w:t xml:space="preserve">- Zakon o željeznici  </w:t>
      </w:r>
    </w:p>
    <w:p w:rsidR="002E3202" w:rsidRDefault="00391FE7">
      <w:r>
        <w:t>- Strategija prometnog razvoja Republike Hrvatske za razdoblje od 2017. do 2030. godine</w:t>
      </w:r>
    </w:p>
    <w:tbl>
      <w:tblPr>
        <w:tblStyle w:val="StilTablice"/>
        <w:tblW w:w="10206" w:type="dxa"/>
        <w:jc w:val="center"/>
        <w:tblLook w:val="04A0" w:firstRow="1" w:lastRow="0" w:firstColumn="1" w:lastColumn="0" w:noHBand="0" w:noVBand="1"/>
      </w:tblPr>
      <w:tblGrid>
        <w:gridCol w:w="1474"/>
        <w:gridCol w:w="1562"/>
        <w:gridCol w:w="1546"/>
        <w:gridCol w:w="1546"/>
        <w:gridCol w:w="1554"/>
        <w:gridCol w:w="1554"/>
        <w:gridCol w:w="970"/>
      </w:tblGrid>
      <w:tr w:rsidR="002E3202">
        <w:trPr>
          <w:jc w:val="center"/>
        </w:trPr>
        <w:tc>
          <w:tcPr>
            <w:tcW w:w="1530" w:type="dxa"/>
            <w:shd w:val="clear" w:color="auto" w:fill="B5C0D8"/>
          </w:tcPr>
          <w:p w:rsidR="002E3202" w:rsidRDefault="00391FE7">
            <w:pPr>
              <w:pStyle w:val="CellHeader"/>
              <w:jc w:val="center"/>
            </w:pPr>
            <w:r>
              <w:rPr>
                <w:rFonts w:cs="Times New Roman"/>
              </w:rPr>
              <w:t>Naziv aktivnosti</w:t>
            </w:r>
          </w:p>
        </w:tc>
        <w:tc>
          <w:tcPr>
            <w:tcW w:w="1632" w:type="dxa"/>
            <w:shd w:val="clear" w:color="auto" w:fill="B5C0D8"/>
          </w:tcPr>
          <w:p w:rsidR="002E3202" w:rsidRDefault="00391FE7">
            <w:pPr>
              <w:pStyle w:val="CellHeader"/>
              <w:jc w:val="center"/>
            </w:pPr>
            <w:r>
              <w:rPr>
                <w:rFonts w:cs="Times New Roman"/>
              </w:rPr>
              <w:t>Izvršenje 2022.</w:t>
            </w:r>
          </w:p>
        </w:tc>
        <w:tc>
          <w:tcPr>
            <w:tcW w:w="1632" w:type="dxa"/>
            <w:shd w:val="clear" w:color="auto" w:fill="B5C0D8"/>
          </w:tcPr>
          <w:p w:rsidR="002E3202" w:rsidRDefault="00391FE7">
            <w:pPr>
              <w:pStyle w:val="CellHeader"/>
              <w:jc w:val="center"/>
            </w:pPr>
            <w:r>
              <w:rPr>
                <w:rFonts w:cs="Times New Roman"/>
              </w:rPr>
              <w:t>Plan 2023.</w:t>
            </w:r>
          </w:p>
        </w:tc>
        <w:tc>
          <w:tcPr>
            <w:tcW w:w="1632" w:type="dxa"/>
            <w:shd w:val="clear" w:color="auto" w:fill="B5C0D8"/>
          </w:tcPr>
          <w:p w:rsidR="002E3202" w:rsidRDefault="00391FE7">
            <w:pPr>
              <w:pStyle w:val="CellHeader"/>
              <w:jc w:val="center"/>
            </w:pPr>
            <w:r>
              <w:rPr>
                <w:rFonts w:cs="Times New Roman"/>
              </w:rPr>
              <w:t>Plan 2024.</w:t>
            </w:r>
          </w:p>
        </w:tc>
        <w:tc>
          <w:tcPr>
            <w:tcW w:w="1632" w:type="dxa"/>
            <w:shd w:val="clear" w:color="auto" w:fill="B5C0D8"/>
          </w:tcPr>
          <w:p w:rsidR="002E3202" w:rsidRDefault="00391FE7">
            <w:pPr>
              <w:pStyle w:val="CellHeader"/>
              <w:jc w:val="center"/>
            </w:pPr>
            <w:r>
              <w:rPr>
                <w:rFonts w:cs="Times New Roman"/>
              </w:rPr>
              <w:t>Plan 2025.</w:t>
            </w:r>
          </w:p>
        </w:tc>
        <w:tc>
          <w:tcPr>
            <w:tcW w:w="1632" w:type="dxa"/>
            <w:shd w:val="clear" w:color="auto" w:fill="B5C0D8"/>
          </w:tcPr>
          <w:p w:rsidR="002E3202" w:rsidRDefault="00391FE7">
            <w:pPr>
              <w:pStyle w:val="CellHeader"/>
              <w:jc w:val="center"/>
            </w:pPr>
            <w:r>
              <w:rPr>
                <w:rFonts w:cs="Times New Roman"/>
              </w:rPr>
              <w:t>Plan 2026.</w:t>
            </w:r>
          </w:p>
        </w:tc>
        <w:tc>
          <w:tcPr>
            <w:tcW w:w="510" w:type="dxa"/>
            <w:shd w:val="clear" w:color="auto" w:fill="B5C0D8"/>
          </w:tcPr>
          <w:p w:rsidR="002E3202" w:rsidRDefault="00391FE7">
            <w:pPr>
              <w:pStyle w:val="CellHeader"/>
              <w:jc w:val="center"/>
            </w:pPr>
            <w:r>
              <w:rPr>
                <w:rFonts w:cs="Times New Roman"/>
              </w:rPr>
              <w:t>Indeks 2024/2023</w:t>
            </w:r>
          </w:p>
        </w:tc>
      </w:tr>
      <w:tr w:rsidR="002E3202">
        <w:trPr>
          <w:jc w:val="center"/>
        </w:trPr>
        <w:tc>
          <w:tcPr>
            <w:tcW w:w="1530" w:type="dxa"/>
            <w:vAlign w:val="top"/>
          </w:tcPr>
          <w:p w:rsidR="002E3202" w:rsidRDefault="00391FE7">
            <w:pPr>
              <w:pStyle w:val="CellColumn"/>
              <w:jc w:val="left"/>
            </w:pPr>
            <w:r>
              <w:rPr>
                <w:rFonts w:cs="Times New Roman"/>
              </w:rPr>
              <w:t>T821079</w:t>
            </w:r>
          </w:p>
        </w:tc>
        <w:tc>
          <w:tcPr>
            <w:tcW w:w="1632" w:type="dxa"/>
            <w:vAlign w:val="top"/>
          </w:tcPr>
          <w:p w:rsidR="002E3202" w:rsidRDefault="00391FE7">
            <w:pPr>
              <w:jc w:val="right"/>
            </w:pPr>
            <w:r>
              <w:t>00</w:t>
            </w:r>
          </w:p>
        </w:tc>
        <w:tc>
          <w:tcPr>
            <w:tcW w:w="1632" w:type="dxa"/>
            <w:vAlign w:val="top"/>
          </w:tcPr>
          <w:p w:rsidR="002E3202" w:rsidRDefault="00391FE7">
            <w:pPr>
              <w:jc w:val="right"/>
            </w:pPr>
            <w:r>
              <w:t>79.661</w:t>
            </w:r>
          </w:p>
        </w:tc>
        <w:tc>
          <w:tcPr>
            <w:tcW w:w="1632" w:type="dxa"/>
            <w:vAlign w:val="top"/>
          </w:tcPr>
          <w:p w:rsidR="002E3202" w:rsidRDefault="00391FE7">
            <w:pPr>
              <w:jc w:val="right"/>
            </w:pPr>
            <w:r>
              <w:t>45.961</w:t>
            </w:r>
          </w:p>
        </w:tc>
        <w:tc>
          <w:tcPr>
            <w:tcW w:w="1632" w:type="dxa"/>
            <w:vAlign w:val="top"/>
          </w:tcPr>
          <w:p w:rsidR="002E3202" w:rsidRDefault="00391FE7">
            <w:pPr>
              <w:jc w:val="right"/>
            </w:pPr>
            <w:r>
              <w:t>133.717</w:t>
            </w:r>
          </w:p>
        </w:tc>
        <w:tc>
          <w:tcPr>
            <w:tcW w:w="1632" w:type="dxa"/>
            <w:vAlign w:val="top"/>
          </w:tcPr>
          <w:p w:rsidR="002E3202" w:rsidRDefault="00391FE7">
            <w:pPr>
              <w:jc w:val="right"/>
            </w:pPr>
            <w:r>
              <w:t>133.717</w:t>
            </w:r>
          </w:p>
        </w:tc>
        <w:tc>
          <w:tcPr>
            <w:tcW w:w="510" w:type="dxa"/>
            <w:vAlign w:val="top"/>
          </w:tcPr>
          <w:p w:rsidR="002E3202" w:rsidRDefault="00391FE7">
            <w:pPr>
              <w:jc w:val="right"/>
            </w:pPr>
            <w:r>
              <w:t>57,7</w:t>
            </w:r>
          </w:p>
        </w:tc>
      </w:tr>
    </w:tbl>
    <w:p w:rsidR="002E3202" w:rsidRDefault="002E3202">
      <w:pPr>
        <w:jc w:val="left"/>
      </w:pPr>
    </w:p>
    <w:p w:rsidR="002E3202" w:rsidRDefault="00391FE7">
      <w:r>
        <w:t xml:space="preserve">Cilj projekta „Culture on rails towards green future“ je promicanje prijevoza željeznicom kao održive vrste prometa kroz kulturno umjetničke sadržaje; omogućavanje bolje dostupnosti informacija o prednostima prijevoza željeznicom i kulturnih sadržaja u manje razvijenim zajednicama; povezivanje zajednica, umjetnika i putnika željeznicom te dijeljenje resursa za otvaranje novih mogućnosti za suradnju. Ovim projektom želi se podići razina svijesti putnika i drugih sudionika o prednostima korištenja prijevoza željeznicom kao ekološkom, održivom i ekonomičnijom vrstom prijevoza. </w:t>
      </w:r>
    </w:p>
    <w:p w:rsidR="002E3202" w:rsidRDefault="00391FE7">
      <w:r>
        <w:t xml:space="preserve">Ciljevi projekta nadovezuju se na opće i specifične ciljeve navedene u Strategiji prometnog razvoja Republike Hrvatske za razdoblje 2017. do 2030. godine, a koji su usmjereni na smanjenje utjecaja prometnog sustava na klimatske promjene i okoliš (okolišna održivost), povećanje sigurnosti i interoperabilnosti prometnog sustava. </w:t>
      </w:r>
    </w:p>
    <w:p w:rsidR="002E3202" w:rsidRDefault="00391FE7">
      <w:r>
        <w:t xml:space="preserve">Predviđa se da će projekt započeti u 2024. godini, a završetak se planira do 1. ožujka 2026. godine te uključuje ukupno 7 aktivnosti i to: </w:t>
      </w:r>
    </w:p>
    <w:p w:rsidR="002E3202" w:rsidRDefault="00391FE7">
      <w:r>
        <w:t xml:space="preserve">U 2024. godini; </w:t>
      </w:r>
    </w:p>
    <w:p w:rsidR="002E3202" w:rsidRDefault="00391FE7">
      <w:r>
        <w:t xml:space="preserve">Aktivnost 1: predviđa pripremu projekta - priprema razvoja metodologije; priprema i upravljanje istraživanjem i stvaranjem; priprema i upravljanje obilaska; zatvaranje projekta; koordinacija, logistička podrška i računovodstvo. </w:t>
      </w:r>
    </w:p>
    <w:p w:rsidR="002E3202" w:rsidRDefault="00391FE7">
      <w:r>
        <w:t xml:space="preserve">Aktivnost 3: predviđa razvoj metodologije - javni poziv za umjetnike; istraživanje konteksta suradnje; okvir za izradu scenarija; pronalaženje web stranice, eksperimentiranje na  webu; sastavljanje okvira alata, koordinacija, logistička podrška i računovodstvo. </w:t>
      </w:r>
    </w:p>
    <w:p w:rsidR="002E3202" w:rsidRDefault="00391FE7">
      <w:r>
        <w:t xml:space="preserve">U 2025. godini; </w:t>
      </w:r>
    </w:p>
    <w:p w:rsidR="002E3202" w:rsidRDefault="00391FE7">
      <w:r>
        <w:t xml:space="preserve">Aktivnost 2: predviđa komunikaciju i širenje informacija - digitalno iskustvo: izrada i implementacija web stranice i QR kodova; izrada alata; početni sastanak i završna konferencija u Republici Hrvatskoj; putovanje na međunarodnu konferenciju, prezentacija projekta; koordinacija, logistička podrška i računovodstvo. </w:t>
      </w:r>
    </w:p>
    <w:p w:rsidR="002E3202" w:rsidRDefault="00391FE7">
      <w:r>
        <w:t xml:space="preserve">Aktivnost 4: predviđa istraživanje i razvoj storyboard-a; pronalaženje lokacija i vlakova; istraživanje i stvaranje stvarnih priča, rad s lokalnim nevladinim udrugama i umjetnicima; razmjena rezultata na mrežnim sastancima; koordinacija, logistička podrška i računovodstvo. </w:t>
      </w:r>
    </w:p>
    <w:p w:rsidR="002E3202" w:rsidRDefault="00391FE7">
      <w:r>
        <w:t xml:space="preserve">Aktivnost 5: predviđa otvoreni poziv za snimatelja, lokalne umjetnike; stvaranje priča, glazbe i metodologije improvizacije; probe u studiju; probe na licu mjesta; izrada materijala i metodologije radionice; koordinacija, logistička podrška i računovodstvo. </w:t>
      </w:r>
    </w:p>
    <w:p w:rsidR="002E3202" w:rsidRDefault="00391FE7">
      <w:r>
        <w:t xml:space="preserve">Aktivnost 7: predviđa wrap-up -  praćenje i vrednovanje; instaliranje QR kodova u vlakovima; koordinacija, logistička podrška i računovodstvo. </w:t>
      </w:r>
    </w:p>
    <w:p w:rsidR="002E3202" w:rsidRDefault="00391FE7">
      <w:r>
        <w:t xml:space="preserve">U 2026. godini;  </w:t>
      </w:r>
    </w:p>
    <w:p w:rsidR="002E3202" w:rsidRDefault="00391FE7">
      <w:r>
        <w:t>Aktivnost 6: predviđa obilazak - radionice lokalnih umjetnika u dva grada; kontinuirano izvođenje u vlaku i kolodvoru; aktivnosti publike u trećem gradu prije povratka; digitalno prikupljanje materijala i implementacija video bloga; koordinacija, logistička podrška i računovodstvo.</w:t>
      </w:r>
    </w:p>
    <w:p w:rsidR="002E3202" w:rsidRDefault="00391FE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2E3202">
        <w:trPr>
          <w:jc w:val="center"/>
        </w:trPr>
        <w:tc>
          <w:tcPr>
            <w:tcW w:w="2245" w:type="dxa"/>
            <w:shd w:val="clear" w:color="auto" w:fill="B5C0D8"/>
          </w:tcPr>
          <w:p w:rsidR="002E3202" w:rsidRDefault="00391FE7">
            <w:pPr>
              <w:jc w:val="center"/>
            </w:pPr>
            <w:r>
              <w:t>Pokazatelj rezultata</w:t>
            </w:r>
          </w:p>
        </w:tc>
        <w:tc>
          <w:tcPr>
            <w:tcW w:w="2245" w:type="dxa"/>
            <w:shd w:val="clear" w:color="auto" w:fill="B5C0D8"/>
          </w:tcPr>
          <w:p w:rsidR="002E3202" w:rsidRDefault="00391FE7">
            <w:pPr>
              <w:pStyle w:val="CellHeader"/>
              <w:jc w:val="center"/>
            </w:pPr>
            <w:r>
              <w:rPr>
                <w:rFonts w:cs="Times New Roman"/>
              </w:rPr>
              <w:t>Definicija</w:t>
            </w:r>
          </w:p>
        </w:tc>
        <w:tc>
          <w:tcPr>
            <w:tcW w:w="918" w:type="dxa"/>
            <w:shd w:val="clear" w:color="auto" w:fill="B5C0D8"/>
          </w:tcPr>
          <w:p w:rsidR="002E3202" w:rsidRDefault="00391FE7">
            <w:pPr>
              <w:pStyle w:val="CellHeader"/>
              <w:jc w:val="center"/>
            </w:pPr>
            <w:r>
              <w:rPr>
                <w:rFonts w:cs="Times New Roman"/>
              </w:rPr>
              <w:t>Jedinica</w:t>
            </w:r>
          </w:p>
        </w:tc>
        <w:tc>
          <w:tcPr>
            <w:tcW w:w="918" w:type="dxa"/>
            <w:shd w:val="clear" w:color="auto" w:fill="B5C0D8"/>
          </w:tcPr>
          <w:p w:rsidR="002E3202" w:rsidRDefault="00391FE7">
            <w:pPr>
              <w:pStyle w:val="CellHeader"/>
              <w:jc w:val="center"/>
            </w:pPr>
            <w:r>
              <w:rPr>
                <w:rFonts w:cs="Times New Roman"/>
              </w:rPr>
              <w:t>Polazna vrijednost</w:t>
            </w:r>
          </w:p>
        </w:tc>
        <w:tc>
          <w:tcPr>
            <w:tcW w:w="918" w:type="dxa"/>
            <w:shd w:val="clear" w:color="auto" w:fill="B5C0D8"/>
          </w:tcPr>
          <w:p w:rsidR="002E3202" w:rsidRDefault="00391FE7">
            <w:pPr>
              <w:pStyle w:val="CellHeader"/>
              <w:jc w:val="center"/>
            </w:pPr>
            <w:r>
              <w:rPr>
                <w:rFonts w:cs="Times New Roman"/>
              </w:rPr>
              <w:t>Izvor podataka</w:t>
            </w:r>
          </w:p>
        </w:tc>
        <w:tc>
          <w:tcPr>
            <w:tcW w:w="918" w:type="dxa"/>
            <w:shd w:val="clear" w:color="auto" w:fill="B5C0D8"/>
          </w:tcPr>
          <w:p w:rsidR="002E3202" w:rsidRDefault="00391FE7">
            <w:pPr>
              <w:pStyle w:val="CellHeader"/>
              <w:jc w:val="center"/>
            </w:pPr>
            <w:r>
              <w:rPr>
                <w:rFonts w:cs="Times New Roman"/>
              </w:rPr>
              <w:t>Ciljana vrijednost (2024.)</w:t>
            </w:r>
          </w:p>
        </w:tc>
        <w:tc>
          <w:tcPr>
            <w:tcW w:w="918" w:type="dxa"/>
            <w:shd w:val="clear" w:color="auto" w:fill="B5C0D8"/>
          </w:tcPr>
          <w:p w:rsidR="002E3202" w:rsidRDefault="00391FE7">
            <w:pPr>
              <w:pStyle w:val="CellHeader"/>
              <w:jc w:val="center"/>
            </w:pPr>
            <w:r>
              <w:rPr>
                <w:rFonts w:cs="Times New Roman"/>
              </w:rPr>
              <w:t>Ciljana vrijednost (2025.)</w:t>
            </w:r>
          </w:p>
        </w:tc>
        <w:tc>
          <w:tcPr>
            <w:tcW w:w="918" w:type="dxa"/>
            <w:shd w:val="clear" w:color="auto" w:fill="B5C0D8"/>
          </w:tcPr>
          <w:p w:rsidR="002E3202" w:rsidRDefault="00391FE7">
            <w:pPr>
              <w:pStyle w:val="CellHeader"/>
              <w:jc w:val="center"/>
            </w:pPr>
            <w:r>
              <w:rPr>
                <w:rFonts w:cs="Times New Roman"/>
              </w:rPr>
              <w:t>Ciljana vrijednost (2026.)</w:t>
            </w:r>
          </w:p>
        </w:tc>
      </w:tr>
      <w:tr w:rsidR="002E3202">
        <w:trPr>
          <w:jc w:val="center"/>
        </w:trPr>
        <w:tc>
          <w:tcPr>
            <w:tcW w:w="2245" w:type="dxa"/>
            <w:vAlign w:val="top"/>
          </w:tcPr>
          <w:p w:rsidR="002E3202" w:rsidRDefault="00391FE7">
            <w:pPr>
              <w:pStyle w:val="CellColumn"/>
              <w:jc w:val="left"/>
            </w:pPr>
            <w:r>
              <w:rPr>
                <w:rFonts w:cs="Times New Roman"/>
              </w:rPr>
              <w:t>Izvršenje plana aktivnosti projekta koje će biti razrađene Grant Agreementom</w:t>
            </w:r>
          </w:p>
        </w:tc>
        <w:tc>
          <w:tcPr>
            <w:tcW w:w="2245" w:type="dxa"/>
            <w:vAlign w:val="top"/>
          </w:tcPr>
          <w:p w:rsidR="002E3202" w:rsidRDefault="00391FE7">
            <w:pPr>
              <w:pStyle w:val="CellColumn"/>
              <w:jc w:val="left"/>
            </w:pPr>
            <w:r>
              <w:rPr>
                <w:rFonts w:cs="Times New Roman"/>
              </w:rPr>
              <w:t>Izvršenje 7 aktivnosti predviđene Grant Agreementom, a koje uključuju: upravljačku strukturu, komunikaciju i širenje informacija, razvoj metodologije, istraživanje i razvoj priče, rezidencije za stvaranje, obilazak i sažetak</w:t>
            </w:r>
          </w:p>
        </w:tc>
        <w:tc>
          <w:tcPr>
            <w:tcW w:w="918" w:type="dxa"/>
          </w:tcPr>
          <w:p w:rsidR="002E3202" w:rsidRDefault="00391FE7">
            <w:pPr>
              <w:jc w:val="center"/>
            </w:pPr>
            <w:r>
              <w:t>broj</w:t>
            </w:r>
          </w:p>
        </w:tc>
        <w:tc>
          <w:tcPr>
            <w:tcW w:w="918" w:type="dxa"/>
          </w:tcPr>
          <w:p w:rsidR="002E3202" w:rsidRDefault="00391FE7">
            <w:pPr>
              <w:jc w:val="center"/>
            </w:pPr>
            <w:r>
              <w:t>0</w:t>
            </w:r>
          </w:p>
        </w:tc>
        <w:tc>
          <w:tcPr>
            <w:tcW w:w="918" w:type="dxa"/>
          </w:tcPr>
          <w:p w:rsidR="002E3202" w:rsidRDefault="00391FE7">
            <w:pPr>
              <w:pStyle w:val="CellColumn"/>
              <w:jc w:val="center"/>
            </w:pPr>
            <w:r>
              <w:rPr>
                <w:rFonts w:cs="Times New Roman"/>
              </w:rPr>
              <w:t>MMPI</w:t>
            </w:r>
          </w:p>
        </w:tc>
        <w:tc>
          <w:tcPr>
            <w:tcW w:w="918" w:type="dxa"/>
          </w:tcPr>
          <w:p w:rsidR="002E3202" w:rsidRDefault="00391FE7">
            <w:pPr>
              <w:jc w:val="center"/>
            </w:pPr>
            <w:r>
              <w:t>1</w:t>
            </w:r>
          </w:p>
        </w:tc>
        <w:tc>
          <w:tcPr>
            <w:tcW w:w="918" w:type="dxa"/>
          </w:tcPr>
          <w:p w:rsidR="002E3202" w:rsidRDefault="00391FE7">
            <w:pPr>
              <w:jc w:val="center"/>
            </w:pPr>
            <w:r>
              <w:t>1</w:t>
            </w:r>
          </w:p>
        </w:tc>
        <w:tc>
          <w:tcPr>
            <w:tcW w:w="918" w:type="dxa"/>
          </w:tcPr>
          <w:p w:rsidR="002E3202" w:rsidRDefault="00391FE7">
            <w:pPr>
              <w:jc w:val="center"/>
            </w:pPr>
            <w:r>
              <w:t>5</w:t>
            </w:r>
          </w:p>
        </w:tc>
      </w:tr>
    </w:tbl>
    <w:p w:rsidR="002E3202" w:rsidRDefault="002E3202" w:rsidP="005F7161">
      <w:pPr>
        <w:jc w:val="left"/>
      </w:pPr>
      <w:bookmarkStart w:id="0" w:name="_GoBack"/>
      <w:bookmarkEnd w:id="0"/>
    </w:p>
    <w:sectPr w:rsidR="002E3202"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E7" w:rsidRDefault="00391FE7" w:rsidP="00F352E6">
      <w:r>
        <w:separator/>
      </w:r>
    </w:p>
  </w:endnote>
  <w:endnote w:type="continuationSeparator" w:id="0">
    <w:p w:rsidR="00391FE7" w:rsidRDefault="00391FE7"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5F7161"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E7" w:rsidRDefault="00391FE7" w:rsidP="00F352E6">
      <w:r>
        <w:separator/>
      </w:r>
    </w:p>
  </w:footnote>
  <w:footnote w:type="continuationSeparator" w:id="0">
    <w:p w:rsidR="00391FE7" w:rsidRDefault="00391FE7"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5F7161"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2E3202"/>
    <w:rsid w:val="00311AA1"/>
    <w:rsid w:val="00382225"/>
    <w:rsid w:val="00386953"/>
    <w:rsid w:val="00391FE7"/>
    <w:rsid w:val="00463609"/>
    <w:rsid w:val="00480C76"/>
    <w:rsid w:val="004C01B5"/>
    <w:rsid w:val="0052289C"/>
    <w:rsid w:val="00524A66"/>
    <w:rsid w:val="00526A7C"/>
    <w:rsid w:val="005A70C0"/>
    <w:rsid w:val="005B6ED7"/>
    <w:rsid w:val="005E2D85"/>
    <w:rsid w:val="005F7161"/>
    <w:rsid w:val="00633683"/>
    <w:rsid w:val="00674346"/>
    <w:rsid w:val="006B3283"/>
    <w:rsid w:val="007665AA"/>
    <w:rsid w:val="007A7E45"/>
    <w:rsid w:val="007D1C46"/>
    <w:rsid w:val="007D395B"/>
    <w:rsid w:val="007D4430"/>
    <w:rsid w:val="00847495"/>
    <w:rsid w:val="008636E2"/>
    <w:rsid w:val="008A7E2A"/>
    <w:rsid w:val="008F519A"/>
    <w:rsid w:val="009359F2"/>
    <w:rsid w:val="0094382E"/>
    <w:rsid w:val="00951B1A"/>
    <w:rsid w:val="009E33D3"/>
    <w:rsid w:val="00A021A2"/>
    <w:rsid w:val="00A320E5"/>
    <w:rsid w:val="00A70582"/>
    <w:rsid w:val="00AB5FEA"/>
    <w:rsid w:val="00AB7B4E"/>
    <w:rsid w:val="00AE0622"/>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DB21F"/>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BD6D-0B87-4D18-ADDB-F16E4FB0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101</Pages>
  <Words>46618</Words>
  <Characters>265725</Characters>
  <Application>Microsoft Office Word</Application>
  <DocSecurity>0</DocSecurity>
  <Lines>2214</Lines>
  <Paragraphs>623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Anna-Marija Jakšić</cp:lastModifiedBy>
  <cp:revision>3</cp:revision>
  <dcterms:created xsi:type="dcterms:W3CDTF">2023-12-15T09:03:00Z</dcterms:created>
  <dcterms:modified xsi:type="dcterms:W3CDTF">2023-12-15T09:05:00Z</dcterms:modified>
</cp:coreProperties>
</file>